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582A4">
      <w:pPr>
        <w:spacing w:line="360" w:lineRule="auto"/>
        <w:jc w:val="center"/>
        <w:outlineLvl w:val="0"/>
        <w:rPr>
          <w:sz w:val="24"/>
          <w:highlight w:val="none"/>
        </w:rPr>
      </w:pPr>
      <w:bookmarkStart w:id="0" w:name="_Toc99301424"/>
      <w:bookmarkStart w:id="35" w:name="_GoBack"/>
      <w:bookmarkEnd w:id="35"/>
      <w:r>
        <w:rPr>
          <w:b/>
          <w:sz w:val="36"/>
          <w:szCs w:val="36"/>
          <w:highlight w:val="none"/>
        </w:rPr>
        <w:t>采购需求</w:t>
      </w:r>
      <w:bookmarkEnd w:id="0"/>
    </w:p>
    <w:p w14:paraId="0E8BE04B">
      <w:pPr>
        <w:pStyle w:val="6"/>
        <w:numPr>
          <w:ilvl w:val="1"/>
          <w:numId w:val="3"/>
        </w:numPr>
        <w:spacing w:before="240" w:after="120"/>
        <w:ind w:left="567"/>
        <w:rPr>
          <w:rFonts w:hint="eastAsia" w:ascii="宋体" w:hAnsi="宋体" w:eastAsia="宋体" w:cs="宋体"/>
          <w:sz w:val="24"/>
          <w:szCs w:val="24"/>
          <w:highlight w:val="none"/>
        </w:rPr>
      </w:pPr>
      <w:bookmarkStart w:id="1" w:name="_Toc16136"/>
      <w:bookmarkStart w:id="2" w:name="_Toc176186869"/>
      <w:r>
        <w:rPr>
          <w:rFonts w:hint="eastAsia" w:ascii="宋体" w:hAnsi="宋体" w:eastAsia="宋体" w:cs="宋体"/>
          <w:sz w:val="24"/>
          <w:szCs w:val="24"/>
          <w:highlight w:val="none"/>
        </w:rPr>
        <w:t>采购标的</w:t>
      </w:r>
      <w:bookmarkEnd w:id="1"/>
      <w:bookmarkEnd w:id="2"/>
    </w:p>
    <w:p w14:paraId="6C75B03F">
      <w:pPr>
        <w:pStyle w:val="7"/>
        <w:numPr>
          <w:ilvl w:val="2"/>
          <w:numId w:val="4"/>
        </w:numPr>
        <w:spacing w:before="240" w:after="120" w:line="360" w:lineRule="auto"/>
        <w:ind w:left="720"/>
        <w:rPr>
          <w:rFonts w:hint="eastAsia" w:ascii="宋体" w:hAnsi="宋体" w:eastAsia="宋体" w:cs="宋体"/>
          <w:sz w:val="24"/>
          <w:szCs w:val="24"/>
          <w:highlight w:val="none"/>
        </w:rPr>
      </w:pPr>
      <w:bookmarkStart w:id="3" w:name="_Toc176186870"/>
      <w:bookmarkStart w:id="4" w:name="_Toc26972"/>
      <w:r>
        <w:rPr>
          <w:rFonts w:hint="eastAsia" w:ascii="宋体" w:hAnsi="宋体" w:eastAsia="宋体" w:cs="宋体"/>
          <w:sz w:val="24"/>
          <w:szCs w:val="24"/>
          <w:highlight w:val="none"/>
        </w:rPr>
        <w:t>采购标的（货物需求一览表或简要服务内容及数量）</w:t>
      </w:r>
      <w:bookmarkEnd w:id="3"/>
      <w:bookmarkEnd w:id="4"/>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4872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06D48818">
            <w:pPr>
              <w:spacing w:line="56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2343" w:type="dxa"/>
            <w:vAlign w:val="center"/>
          </w:tcPr>
          <w:p w14:paraId="06EE34A8">
            <w:pPr>
              <w:spacing w:line="560" w:lineRule="exact"/>
              <w:jc w:val="center"/>
              <w:rPr>
                <w:rFonts w:hint="eastAsia" w:ascii="宋体" w:hAnsi="宋体" w:cs="宋体"/>
                <w:b/>
                <w:sz w:val="24"/>
                <w:highlight w:val="none"/>
              </w:rPr>
            </w:pPr>
            <w:r>
              <w:rPr>
                <w:rFonts w:hint="eastAsia" w:ascii="宋体" w:hAnsi="宋体" w:cs="宋体"/>
                <w:b/>
                <w:sz w:val="24"/>
                <w:highlight w:val="none"/>
              </w:rPr>
              <w:t>货物或服务名称</w:t>
            </w:r>
          </w:p>
        </w:tc>
        <w:tc>
          <w:tcPr>
            <w:tcW w:w="1701" w:type="dxa"/>
            <w:vAlign w:val="center"/>
          </w:tcPr>
          <w:p w14:paraId="6659B374">
            <w:pPr>
              <w:spacing w:line="560" w:lineRule="exact"/>
              <w:jc w:val="center"/>
              <w:rPr>
                <w:rFonts w:hint="eastAsia" w:ascii="宋体" w:hAnsi="宋体" w:cs="宋体"/>
                <w:b/>
                <w:sz w:val="24"/>
                <w:highlight w:val="none"/>
              </w:rPr>
            </w:pPr>
            <w:r>
              <w:rPr>
                <w:rFonts w:hint="eastAsia" w:ascii="宋体" w:hAnsi="宋体" w:cs="宋体"/>
                <w:b/>
                <w:sz w:val="24"/>
                <w:highlight w:val="none"/>
              </w:rPr>
              <w:t>数量</w:t>
            </w:r>
          </w:p>
        </w:tc>
        <w:tc>
          <w:tcPr>
            <w:tcW w:w="1473" w:type="dxa"/>
            <w:vAlign w:val="center"/>
          </w:tcPr>
          <w:p w14:paraId="44B106B0">
            <w:pPr>
              <w:spacing w:line="560" w:lineRule="exact"/>
              <w:jc w:val="center"/>
              <w:rPr>
                <w:rFonts w:hint="eastAsia" w:ascii="宋体" w:hAnsi="宋体" w:cs="宋体"/>
                <w:b/>
                <w:sz w:val="24"/>
                <w:highlight w:val="none"/>
              </w:rPr>
            </w:pPr>
            <w:r>
              <w:rPr>
                <w:rFonts w:hint="eastAsia" w:ascii="宋体" w:hAnsi="宋体" w:cs="宋体"/>
                <w:b/>
                <w:sz w:val="24"/>
                <w:highlight w:val="none"/>
              </w:rPr>
              <w:t>单位</w:t>
            </w:r>
          </w:p>
        </w:tc>
        <w:tc>
          <w:tcPr>
            <w:tcW w:w="1947" w:type="dxa"/>
            <w:vAlign w:val="center"/>
          </w:tcPr>
          <w:p w14:paraId="084359E7">
            <w:pPr>
              <w:spacing w:line="560" w:lineRule="exact"/>
              <w:jc w:val="center"/>
              <w:rPr>
                <w:rFonts w:hint="eastAsia" w:ascii="宋体" w:hAnsi="宋体" w:cs="宋体"/>
                <w:b/>
                <w:sz w:val="24"/>
                <w:highlight w:val="none"/>
              </w:rPr>
            </w:pPr>
            <w:r>
              <w:rPr>
                <w:rFonts w:hint="eastAsia" w:ascii="宋体" w:hAnsi="宋体" w:cs="宋体"/>
                <w:b/>
                <w:sz w:val="24"/>
                <w:highlight w:val="none"/>
              </w:rPr>
              <w:t>备注（核心产品）</w:t>
            </w:r>
          </w:p>
        </w:tc>
      </w:tr>
      <w:tr w14:paraId="32D1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14CFB4BA">
            <w:pPr>
              <w:spacing w:line="560" w:lineRule="exact"/>
              <w:jc w:val="center"/>
              <w:rPr>
                <w:rFonts w:hint="eastAsia" w:ascii="宋体" w:hAnsi="宋体" w:cs="宋体"/>
                <w:sz w:val="24"/>
                <w:highlight w:val="none"/>
              </w:rPr>
            </w:pPr>
            <w:r>
              <w:rPr>
                <w:rFonts w:hint="eastAsia" w:ascii="宋体" w:hAnsi="宋体" w:cs="宋体"/>
                <w:sz w:val="24"/>
                <w:highlight w:val="none"/>
              </w:rPr>
              <w:t>1</w:t>
            </w:r>
          </w:p>
        </w:tc>
        <w:tc>
          <w:tcPr>
            <w:tcW w:w="2343" w:type="dxa"/>
            <w:vAlign w:val="center"/>
          </w:tcPr>
          <w:p w14:paraId="26781266">
            <w:pPr>
              <w:spacing w:line="560" w:lineRule="exact"/>
              <w:jc w:val="center"/>
              <w:rPr>
                <w:rFonts w:hint="eastAsia" w:ascii="宋体" w:hAnsi="宋体" w:cs="宋体"/>
                <w:sz w:val="24"/>
                <w:highlight w:val="none"/>
              </w:rPr>
            </w:pPr>
            <w:r>
              <w:rPr>
                <w:rFonts w:hint="eastAsia" w:ascii="宋体" w:hAnsi="宋体" w:cs="宋体"/>
                <w:sz w:val="24"/>
                <w:highlight w:val="none"/>
              </w:rPr>
              <w:t>政务云服务项目（2026-2027年度）</w:t>
            </w:r>
          </w:p>
        </w:tc>
        <w:tc>
          <w:tcPr>
            <w:tcW w:w="1701" w:type="dxa"/>
            <w:vAlign w:val="center"/>
          </w:tcPr>
          <w:p w14:paraId="2970A864">
            <w:pPr>
              <w:spacing w:line="560" w:lineRule="exact"/>
              <w:jc w:val="center"/>
              <w:rPr>
                <w:rFonts w:hint="eastAsia" w:ascii="宋体" w:hAnsi="宋体" w:cs="宋体"/>
                <w:sz w:val="24"/>
                <w:highlight w:val="none"/>
              </w:rPr>
            </w:pPr>
            <w:r>
              <w:rPr>
                <w:rFonts w:hint="eastAsia" w:ascii="宋体" w:hAnsi="宋体" w:cs="宋体"/>
                <w:sz w:val="24"/>
                <w:highlight w:val="none"/>
              </w:rPr>
              <w:t>1</w:t>
            </w:r>
          </w:p>
        </w:tc>
        <w:tc>
          <w:tcPr>
            <w:tcW w:w="1473" w:type="dxa"/>
            <w:vAlign w:val="center"/>
          </w:tcPr>
          <w:p w14:paraId="24AAA079">
            <w:pPr>
              <w:spacing w:line="560" w:lineRule="exact"/>
              <w:jc w:val="center"/>
              <w:rPr>
                <w:rFonts w:hint="eastAsia" w:ascii="宋体" w:hAnsi="宋体" w:cs="宋体"/>
                <w:sz w:val="24"/>
                <w:highlight w:val="none"/>
              </w:rPr>
            </w:pPr>
            <w:r>
              <w:rPr>
                <w:rFonts w:hint="eastAsia" w:ascii="宋体" w:hAnsi="宋体" w:cs="宋体"/>
                <w:sz w:val="24"/>
                <w:highlight w:val="none"/>
              </w:rPr>
              <w:t>项</w:t>
            </w:r>
          </w:p>
        </w:tc>
        <w:tc>
          <w:tcPr>
            <w:tcW w:w="1947" w:type="dxa"/>
            <w:vAlign w:val="center"/>
          </w:tcPr>
          <w:p w14:paraId="5ED8C8BC">
            <w:pPr>
              <w:spacing w:line="560" w:lineRule="exact"/>
              <w:jc w:val="center"/>
              <w:rPr>
                <w:rFonts w:hint="eastAsia" w:ascii="宋体" w:hAnsi="宋体" w:cs="宋体"/>
                <w:sz w:val="24"/>
                <w:highlight w:val="none"/>
              </w:rPr>
            </w:pPr>
            <w:r>
              <w:rPr>
                <w:rFonts w:hint="eastAsia" w:ascii="宋体" w:hAnsi="宋体" w:cs="宋体"/>
                <w:sz w:val="24"/>
                <w:highlight w:val="none"/>
              </w:rPr>
              <w:t>政务云基础服务</w:t>
            </w:r>
          </w:p>
        </w:tc>
      </w:tr>
    </w:tbl>
    <w:p w14:paraId="41BD4D5C">
      <w:pPr>
        <w:pStyle w:val="7"/>
        <w:numPr>
          <w:ilvl w:val="2"/>
          <w:numId w:val="4"/>
        </w:numPr>
        <w:spacing w:before="240" w:after="120" w:line="360" w:lineRule="auto"/>
        <w:ind w:left="720"/>
        <w:rPr>
          <w:rFonts w:hint="eastAsia" w:ascii="宋体" w:hAnsi="宋体" w:eastAsia="宋体" w:cs="宋体"/>
          <w:sz w:val="24"/>
          <w:szCs w:val="24"/>
          <w:highlight w:val="none"/>
        </w:rPr>
      </w:pPr>
      <w:bookmarkStart w:id="5" w:name="_Toc4808"/>
      <w:bookmarkStart w:id="6" w:name="_Toc176186871"/>
      <w:r>
        <w:rPr>
          <w:rFonts w:hint="eastAsia" w:ascii="宋体" w:hAnsi="宋体" w:eastAsia="宋体" w:cs="宋体"/>
          <w:sz w:val="24"/>
          <w:szCs w:val="24"/>
          <w:highlight w:val="none"/>
        </w:rPr>
        <w:t>项目背景/项目概述</w:t>
      </w:r>
      <w:bookmarkEnd w:id="5"/>
      <w:bookmarkEnd w:id="6"/>
    </w:p>
    <w:p w14:paraId="43852499">
      <w:pPr>
        <w:pStyle w:val="8"/>
        <w:spacing w:line="560" w:lineRule="exact"/>
        <w:rPr>
          <w:rFonts w:hint="eastAsia"/>
          <w:sz w:val="24"/>
          <w:highlight w:val="none"/>
        </w:rPr>
      </w:pPr>
      <w:r>
        <w:rPr>
          <w:rFonts w:hint="eastAsia"/>
          <w:sz w:val="24"/>
          <w:highlight w:val="none"/>
        </w:rPr>
        <w:t>依据《北京市市级政务云管理办法》、《北京市市级政务云服务指南》等政策文件要求，北京市财政局业务系统已经部署在北京政务云环境内并稳定运行多年。为保障已入云业务系统在政务云中的持续稳定运行，确保信息系统和数据资产的安全可靠，需要继续购买政务云服务，保障业务系统运行的连续性。所提供的政务云服务能够按需提供相应的信创资源，符合IPv6相关要求，同时可提供针对资源使用情况的可视化监控能力</w:t>
      </w:r>
      <w:r>
        <w:rPr>
          <w:rFonts w:hint="eastAsia"/>
          <w:sz w:val="24"/>
          <w:highlight w:val="none"/>
          <w:lang w:val="en-US" w:eastAsia="zh-CN"/>
        </w:rPr>
        <w:t>和运维管理能力</w:t>
      </w:r>
      <w:r>
        <w:rPr>
          <w:rFonts w:hint="eastAsia"/>
          <w:sz w:val="24"/>
          <w:highlight w:val="none"/>
        </w:rPr>
        <w:t>。</w:t>
      </w:r>
    </w:p>
    <w:p w14:paraId="50DABFD4">
      <w:pPr>
        <w:pStyle w:val="6"/>
        <w:numPr>
          <w:ilvl w:val="1"/>
          <w:numId w:val="3"/>
        </w:numPr>
        <w:spacing w:before="240" w:after="120"/>
        <w:ind w:left="567"/>
        <w:rPr>
          <w:rFonts w:hint="eastAsia" w:ascii="宋体" w:hAnsi="宋体" w:eastAsia="宋体" w:cs="宋体"/>
          <w:sz w:val="24"/>
          <w:szCs w:val="24"/>
          <w:highlight w:val="none"/>
        </w:rPr>
      </w:pPr>
      <w:bookmarkStart w:id="7" w:name="_Toc176186872"/>
      <w:bookmarkStart w:id="8" w:name="_Toc15036"/>
      <w:r>
        <w:rPr>
          <w:rFonts w:hint="eastAsia" w:ascii="宋体" w:hAnsi="宋体" w:eastAsia="宋体" w:cs="宋体"/>
          <w:sz w:val="24"/>
          <w:szCs w:val="24"/>
          <w:highlight w:val="none"/>
        </w:rPr>
        <w:t>商务要求</w:t>
      </w:r>
      <w:bookmarkEnd w:id="7"/>
      <w:bookmarkEnd w:id="8"/>
    </w:p>
    <w:p w14:paraId="266D7A17">
      <w:pPr>
        <w:pStyle w:val="6"/>
        <w:numPr>
          <w:ilvl w:val="2"/>
          <w:numId w:val="3"/>
        </w:numPr>
        <w:spacing w:before="240" w:after="120"/>
        <w:ind w:left="720"/>
        <w:outlineLvl w:val="2"/>
        <w:rPr>
          <w:rFonts w:hint="eastAsia" w:ascii="宋体" w:hAnsi="宋体" w:eastAsia="宋体" w:cs="宋体"/>
          <w:sz w:val="24"/>
          <w:szCs w:val="24"/>
          <w:highlight w:val="none"/>
        </w:rPr>
      </w:pPr>
      <w:bookmarkStart w:id="9" w:name="_Toc176186873"/>
      <w:bookmarkStart w:id="10" w:name="_Toc15853"/>
      <w:r>
        <w:rPr>
          <w:rFonts w:hint="eastAsia" w:ascii="宋体" w:hAnsi="宋体" w:eastAsia="宋体" w:cs="宋体"/>
          <w:sz w:val="24"/>
          <w:szCs w:val="24"/>
          <w:highlight w:val="none"/>
        </w:rPr>
        <w:t>交付（实施）的时间（期限）和地点（范围）</w:t>
      </w:r>
      <w:bookmarkEnd w:id="9"/>
      <w:bookmarkEnd w:id="10"/>
    </w:p>
    <w:p w14:paraId="280D2CDA">
      <w:pPr>
        <w:spacing w:line="560" w:lineRule="exact"/>
        <w:ind w:firstLine="480"/>
        <w:contextualSpacing/>
        <w:rPr>
          <w:rFonts w:hint="eastAsia" w:ascii="宋体" w:hAnsi="宋体" w:cs="宋体"/>
          <w:bCs/>
          <w:sz w:val="24"/>
          <w:highlight w:val="none"/>
        </w:rPr>
      </w:pPr>
      <w:r>
        <w:rPr>
          <w:rFonts w:hint="eastAsia" w:ascii="宋体" w:hAnsi="宋体" w:cs="宋体"/>
          <w:bCs/>
          <w:sz w:val="24"/>
          <w:highlight w:val="none"/>
        </w:rPr>
        <w:t>服务期为自合同签订之日起12个月。</w:t>
      </w:r>
    </w:p>
    <w:p w14:paraId="23CBD153">
      <w:pPr>
        <w:spacing w:line="560" w:lineRule="exact"/>
        <w:ind w:firstLine="480"/>
        <w:contextualSpacing/>
        <w:rPr>
          <w:rFonts w:hint="eastAsia" w:ascii="宋体" w:hAnsi="宋体" w:cs="宋体"/>
          <w:bCs/>
          <w:sz w:val="24"/>
          <w:highlight w:val="none"/>
        </w:rPr>
      </w:pPr>
      <w:r>
        <w:rPr>
          <w:rFonts w:hint="eastAsia" w:ascii="宋体" w:hAnsi="宋体" w:cs="宋体"/>
          <w:bCs/>
          <w:sz w:val="24"/>
          <w:highlight w:val="none"/>
        </w:rPr>
        <w:t>项目履约地点：采购人指定的地点。</w:t>
      </w:r>
    </w:p>
    <w:p w14:paraId="37D3E1AA">
      <w:pPr>
        <w:pStyle w:val="6"/>
        <w:numPr>
          <w:ilvl w:val="2"/>
          <w:numId w:val="3"/>
        </w:numPr>
        <w:spacing w:before="240" w:after="120"/>
        <w:ind w:left="720"/>
        <w:outlineLvl w:val="2"/>
        <w:rPr>
          <w:rFonts w:hint="eastAsia" w:ascii="宋体" w:hAnsi="宋体" w:eastAsia="宋体" w:cs="宋体"/>
          <w:sz w:val="24"/>
          <w:szCs w:val="24"/>
          <w:highlight w:val="none"/>
        </w:rPr>
      </w:pPr>
      <w:bookmarkStart w:id="11" w:name="_Toc176186874"/>
      <w:bookmarkStart w:id="12" w:name="_Toc19489"/>
      <w:r>
        <w:rPr>
          <w:rFonts w:hint="eastAsia" w:ascii="宋体" w:hAnsi="宋体" w:eastAsia="宋体" w:cs="宋体"/>
          <w:sz w:val="24"/>
          <w:szCs w:val="24"/>
          <w:highlight w:val="none"/>
        </w:rPr>
        <w:t>付款条件（进度和方式）</w:t>
      </w:r>
      <w:bookmarkEnd w:id="11"/>
      <w:bookmarkEnd w:id="12"/>
    </w:p>
    <w:p w14:paraId="2823E3FE">
      <w:pPr>
        <w:pStyle w:val="8"/>
        <w:spacing w:line="560" w:lineRule="exact"/>
        <w:rPr>
          <w:rFonts w:hint="eastAsia"/>
          <w:sz w:val="24"/>
          <w:highlight w:val="none"/>
        </w:rPr>
      </w:pPr>
      <w:r>
        <w:rPr>
          <w:rFonts w:hint="eastAsia"/>
          <w:sz w:val="24"/>
          <w:highlight w:val="none"/>
        </w:rPr>
        <w:t>本合同的付款方式为:分两次付款，待本合同签署完毕20个工作日内支付第一笔款项，预计50%；合同期满并且中标人年度考核合格后，采购人向中标人支付剩余尾款。</w:t>
      </w:r>
    </w:p>
    <w:p w14:paraId="1ED9E4F4">
      <w:pPr>
        <w:pStyle w:val="6"/>
        <w:numPr>
          <w:ilvl w:val="1"/>
          <w:numId w:val="3"/>
        </w:numPr>
        <w:spacing w:before="240" w:after="120"/>
        <w:ind w:left="567"/>
        <w:rPr>
          <w:rFonts w:hint="eastAsia" w:ascii="宋体" w:hAnsi="宋体" w:eastAsia="宋体" w:cs="宋体"/>
          <w:sz w:val="24"/>
          <w:szCs w:val="24"/>
          <w:highlight w:val="none"/>
        </w:rPr>
      </w:pPr>
      <w:bookmarkStart w:id="13" w:name="_Toc32607"/>
      <w:bookmarkStart w:id="14" w:name="_Toc176186875"/>
      <w:r>
        <w:rPr>
          <w:rFonts w:hint="eastAsia" w:ascii="宋体" w:hAnsi="宋体" w:eastAsia="宋体" w:cs="宋体"/>
          <w:sz w:val="24"/>
          <w:szCs w:val="24"/>
          <w:highlight w:val="none"/>
        </w:rPr>
        <w:t>技术要求</w:t>
      </w:r>
      <w:bookmarkEnd w:id="13"/>
      <w:bookmarkEnd w:id="14"/>
    </w:p>
    <w:p w14:paraId="0B6ED619">
      <w:pPr>
        <w:pStyle w:val="6"/>
        <w:numPr>
          <w:ilvl w:val="2"/>
          <w:numId w:val="3"/>
        </w:numPr>
        <w:spacing w:before="240" w:after="120"/>
        <w:ind w:left="720"/>
        <w:outlineLvl w:val="2"/>
        <w:rPr>
          <w:rFonts w:hint="eastAsia" w:ascii="宋体" w:hAnsi="宋体" w:eastAsia="宋体" w:cs="宋体"/>
          <w:sz w:val="24"/>
          <w:szCs w:val="24"/>
          <w:highlight w:val="none"/>
        </w:rPr>
      </w:pPr>
      <w:bookmarkStart w:id="15" w:name="_Toc176186876"/>
      <w:bookmarkStart w:id="16" w:name="_Toc7303"/>
      <w:r>
        <w:rPr>
          <w:rFonts w:hint="eastAsia" w:ascii="宋体" w:hAnsi="宋体" w:eastAsia="宋体" w:cs="宋体"/>
          <w:sz w:val="24"/>
          <w:szCs w:val="24"/>
          <w:highlight w:val="none"/>
        </w:rPr>
        <w:t>项目目标</w:t>
      </w:r>
      <w:bookmarkEnd w:id="15"/>
      <w:bookmarkEnd w:id="16"/>
    </w:p>
    <w:p w14:paraId="752DD1CD">
      <w:pPr>
        <w:spacing w:line="560" w:lineRule="exact"/>
        <w:ind w:firstLine="480"/>
        <w:rPr>
          <w:rFonts w:hint="eastAsia" w:ascii="宋体" w:hAnsi="宋体" w:cs="宋体"/>
          <w:sz w:val="24"/>
          <w:highlight w:val="none"/>
        </w:rPr>
      </w:pPr>
      <w:r>
        <w:rPr>
          <w:rFonts w:hint="eastAsia" w:ascii="宋体" w:hAnsi="宋体" w:cs="宋体"/>
          <w:bCs/>
          <w:sz w:val="24"/>
          <w:highlight w:val="none"/>
        </w:rPr>
        <w:t>依据《北京市市级政务云管理办法》、《北京市市级政务云服务指南》等政策文件要求，</w:t>
      </w:r>
      <w:r>
        <w:rPr>
          <w:rFonts w:hint="eastAsia" w:ascii="宋体" w:hAnsi="宋体" w:cs="宋体"/>
          <w:sz w:val="24"/>
          <w:highlight w:val="none"/>
        </w:rPr>
        <w:t>租用北京市级政务云的计算服务、存储服务和网络等各类服务，充分发挥云计算弹性、高效、稳定的优势，进一步提升集约化水平和运维和安全保障能力，满足应用系统适配改造相关需求，保障所有已入云的业务系统在云平台中运行不中断，安全、稳定运行，确保日常业务工作顺利开展。</w:t>
      </w:r>
    </w:p>
    <w:p w14:paraId="4A292135">
      <w:pPr>
        <w:pStyle w:val="6"/>
        <w:numPr>
          <w:ilvl w:val="2"/>
          <w:numId w:val="3"/>
        </w:numPr>
        <w:spacing w:before="240" w:after="120"/>
        <w:ind w:left="720"/>
        <w:outlineLvl w:val="2"/>
        <w:rPr>
          <w:rFonts w:hint="eastAsia" w:ascii="宋体" w:hAnsi="宋体" w:eastAsia="宋体" w:cs="宋体"/>
          <w:sz w:val="24"/>
          <w:szCs w:val="24"/>
          <w:highlight w:val="none"/>
        </w:rPr>
      </w:pPr>
      <w:bookmarkStart w:id="17" w:name="_Toc176186877"/>
      <w:bookmarkStart w:id="18" w:name="_Toc28436"/>
      <w:r>
        <w:rPr>
          <w:rFonts w:hint="eastAsia" w:ascii="宋体" w:hAnsi="宋体" w:eastAsia="宋体" w:cs="宋体"/>
          <w:sz w:val="24"/>
          <w:szCs w:val="24"/>
          <w:highlight w:val="none"/>
        </w:rPr>
        <w:t>服务内容及要求</w:t>
      </w:r>
      <w:bookmarkEnd w:id="17"/>
      <w:bookmarkEnd w:id="18"/>
    </w:p>
    <w:p w14:paraId="53BC22DF">
      <w:pPr>
        <w:pStyle w:val="6"/>
        <w:numPr>
          <w:ilvl w:val="3"/>
          <w:numId w:val="3"/>
        </w:numPr>
        <w:spacing w:before="240" w:after="120"/>
        <w:ind w:left="720" w:hanging="720"/>
        <w:outlineLvl w:val="3"/>
        <w:rPr>
          <w:rFonts w:hint="eastAsia" w:ascii="宋体" w:hAnsi="宋体" w:eastAsia="宋体" w:cs="宋体"/>
          <w:sz w:val="24"/>
          <w:szCs w:val="24"/>
          <w:highlight w:val="none"/>
          <w:lang w:val="en-US" w:eastAsia="zh-CN"/>
        </w:rPr>
      </w:pPr>
      <w:bookmarkStart w:id="19" w:name="_Toc19793"/>
      <w:bookmarkStart w:id="20" w:name="_Toc176186878"/>
      <w:r>
        <w:rPr>
          <w:rFonts w:hint="eastAsia" w:ascii="宋体" w:hAnsi="宋体" w:eastAsia="宋体" w:cs="宋体"/>
          <w:sz w:val="24"/>
          <w:szCs w:val="24"/>
          <w:highlight w:val="none"/>
          <w:lang w:val="en-US" w:eastAsia="zh-CN"/>
        </w:rPr>
        <w:t>项目现状</w:t>
      </w:r>
      <w:bookmarkEnd w:id="19"/>
      <w:bookmarkEnd w:id="20"/>
    </w:p>
    <w:p w14:paraId="26E2FA6E">
      <w:pPr>
        <w:pStyle w:val="8"/>
        <w:spacing w:line="560" w:lineRule="exact"/>
        <w:rPr>
          <w:rFonts w:hint="eastAsia"/>
          <w:sz w:val="24"/>
          <w:highlight w:val="none"/>
        </w:rPr>
      </w:pPr>
      <w:r>
        <w:rPr>
          <w:rFonts w:hint="eastAsia"/>
          <w:sz w:val="24"/>
          <w:highlight w:val="none"/>
        </w:rPr>
        <w:t>目前市财政局全部信息系统均已通过云化方式部署，其中，综合办公平台部署在办公云，不在本项目需求范围内。其余2</w:t>
      </w:r>
      <w:r>
        <w:rPr>
          <w:rFonts w:hint="eastAsia"/>
          <w:sz w:val="24"/>
          <w:highlight w:val="none"/>
          <w:lang w:val="en-US" w:eastAsia="zh-CN"/>
        </w:rPr>
        <w:t>0</w:t>
      </w:r>
      <w:r>
        <w:rPr>
          <w:rFonts w:hint="eastAsia"/>
          <w:sz w:val="24"/>
          <w:highlight w:val="none"/>
        </w:rPr>
        <w:t>个系统，均部署运行在北京市级政务云六里桥节点。</w:t>
      </w:r>
    </w:p>
    <w:p w14:paraId="6257BB86">
      <w:pPr>
        <w:pStyle w:val="6"/>
        <w:numPr>
          <w:ilvl w:val="3"/>
          <w:numId w:val="3"/>
        </w:numPr>
        <w:spacing w:before="240" w:after="120"/>
        <w:ind w:left="720" w:hanging="720"/>
        <w:outlineLvl w:val="3"/>
        <w:rPr>
          <w:rFonts w:hint="eastAsia" w:ascii="宋体" w:hAnsi="宋体" w:eastAsia="宋体" w:cs="宋体"/>
          <w:sz w:val="24"/>
          <w:szCs w:val="24"/>
          <w:highlight w:val="none"/>
          <w:lang w:val="en-US" w:eastAsia="zh-CN"/>
        </w:rPr>
      </w:pPr>
      <w:bookmarkStart w:id="21" w:name="_Toc115134897"/>
      <w:bookmarkStart w:id="22" w:name="_Toc176186879"/>
      <w:bookmarkStart w:id="23" w:name="_Toc29983"/>
      <w:r>
        <w:rPr>
          <w:rFonts w:hint="eastAsia" w:ascii="宋体" w:hAnsi="宋体" w:eastAsia="宋体" w:cs="宋体"/>
          <w:sz w:val="24"/>
          <w:szCs w:val="24"/>
          <w:highlight w:val="none"/>
          <w:lang w:val="en-US" w:eastAsia="zh-CN"/>
        </w:rPr>
        <w:t>政务云服务需求</w:t>
      </w:r>
      <w:bookmarkEnd w:id="21"/>
      <w:bookmarkEnd w:id="22"/>
      <w:bookmarkEnd w:id="23"/>
    </w:p>
    <w:p w14:paraId="52B0ADA6">
      <w:pPr>
        <w:pStyle w:val="8"/>
        <w:spacing w:line="560" w:lineRule="exact"/>
        <w:rPr>
          <w:rFonts w:hint="eastAsia"/>
          <w:sz w:val="24"/>
          <w:highlight w:val="none"/>
        </w:rPr>
      </w:pPr>
      <w:r>
        <w:rPr>
          <w:rFonts w:hint="eastAsia"/>
          <w:sz w:val="24"/>
          <w:highlight w:val="none"/>
        </w:rPr>
        <w:t>投标人需提供承诺函，承诺所提供的政务云服务可按照采购人要求，在服务期内按照1:1的资源比例提供可替代的信创资源，</w:t>
      </w:r>
      <w:r>
        <w:rPr>
          <w:rFonts w:hint="eastAsia"/>
          <w:sz w:val="24"/>
          <w:highlight w:val="none"/>
          <w:lang w:val="en-US" w:eastAsia="zh-CN"/>
        </w:rPr>
        <w:t>提供业务系统信创适配后的迁移支持</w:t>
      </w:r>
      <w:r>
        <w:rPr>
          <w:rFonts w:hint="eastAsia"/>
          <w:sz w:val="24"/>
          <w:highlight w:val="none"/>
          <w:lang w:eastAsia="zh-CN"/>
        </w:rPr>
        <w:t>，</w:t>
      </w:r>
      <w:r>
        <w:rPr>
          <w:rFonts w:hint="eastAsia"/>
          <w:sz w:val="24"/>
          <w:highlight w:val="none"/>
        </w:rPr>
        <w:t>以满足采购人各业务系统的适配改造需求。</w:t>
      </w:r>
    </w:p>
    <w:p w14:paraId="335EC3BA">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计算存储需求</w:t>
      </w:r>
    </w:p>
    <w:p w14:paraId="15BEAAF1">
      <w:pPr>
        <w:spacing w:line="560" w:lineRule="exact"/>
        <w:ind w:firstLine="480"/>
        <w:rPr>
          <w:rFonts w:hint="eastAsia" w:ascii="宋体" w:hAnsi="宋体" w:cs="宋体"/>
          <w:sz w:val="24"/>
          <w:highlight w:val="none"/>
        </w:rPr>
      </w:pPr>
      <w:r>
        <w:rPr>
          <w:rFonts w:hint="eastAsia" w:ascii="宋体" w:hAnsi="宋体" w:cs="宋体"/>
          <w:sz w:val="24"/>
          <w:highlight w:val="none"/>
        </w:rPr>
        <w:t>投标人须基于市级政务云平台为市财政局提供的财政局专属计算存储资源池，资源池所在的物理空间需独立且集中，所提供的资源底层须与其它用户相互独立，避免与其它用户混用，降低资源争抢导致的性能降低，为保障市财政局系统在政务云平台可扩展性，投标人所投云平台计算资源应当预留充分冗余，预留采购vCPU、内存、存储不低于采购总量的20%。并按照市财政局业务需求，实现云资源快速扩容，提供服务承诺。</w:t>
      </w:r>
    </w:p>
    <w:p w14:paraId="6031CAA8">
      <w:pPr>
        <w:spacing w:line="560" w:lineRule="exact"/>
        <w:ind w:firstLine="480"/>
        <w:rPr>
          <w:rFonts w:hint="eastAsia" w:ascii="宋体" w:hAnsi="宋体" w:cs="宋体"/>
          <w:sz w:val="24"/>
          <w:highlight w:val="none"/>
        </w:rPr>
      </w:pPr>
      <w:r>
        <w:rPr>
          <w:rFonts w:hint="eastAsia" w:ascii="宋体" w:hAnsi="宋体" w:cs="宋体"/>
          <w:sz w:val="24"/>
          <w:highlight w:val="none"/>
        </w:rPr>
        <w:t>依据当前市财政局业务系统部署和运行情况，系统稳定运行所需计算存储资源如下：</w:t>
      </w:r>
    </w:p>
    <w:tbl>
      <w:tblPr>
        <w:tblStyle w:val="4"/>
        <w:tblW w:w="8443" w:type="dxa"/>
        <w:jc w:val="center"/>
        <w:tblLayout w:type="fixed"/>
        <w:tblCellMar>
          <w:top w:w="0" w:type="dxa"/>
          <w:left w:w="108" w:type="dxa"/>
          <w:bottom w:w="0" w:type="dxa"/>
          <w:right w:w="108" w:type="dxa"/>
        </w:tblCellMar>
      </w:tblPr>
      <w:tblGrid>
        <w:gridCol w:w="727"/>
        <w:gridCol w:w="1383"/>
        <w:gridCol w:w="1523"/>
        <w:gridCol w:w="2504"/>
        <w:gridCol w:w="1286"/>
        <w:gridCol w:w="1020"/>
      </w:tblGrid>
      <w:tr w14:paraId="7075AA38">
        <w:tblPrEx>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541C6">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FBDF">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服务类别</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B1DC">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服务子类</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09D18">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服务项</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B8976">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计价单位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7E50">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数量</w:t>
            </w:r>
          </w:p>
        </w:tc>
      </w:tr>
      <w:tr w14:paraId="1B83E738">
        <w:tblPrEx>
          <w:tblCellMar>
            <w:top w:w="0" w:type="dxa"/>
            <w:left w:w="108" w:type="dxa"/>
            <w:bottom w:w="0" w:type="dxa"/>
            <w:right w:w="108" w:type="dxa"/>
          </w:tblCellMar>
        </w:tblPrEx>
        <w:trPr>
          <w:trHeight w:val="4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4C25">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7822C6">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计算服务</w:t>
            </w:r>
          </w:p>
        </w:tc>
        <w:tc>
          <w:tcPr>
            <w:tcW w:w="1523" w:type="dxa"/>
            <w:vMerge w:val="restart"/>
            <w:tcBorders>
              <w:top w:val="single" w:color="000000" w:sz="4" w:space="0"/>
              <w:left w:val="single" w:color="000000" w:sz="4" w:space="0"/>
              <w:right w:val="single" w:color="000000" w:sz="4" w:space="0"/>
            </w:tcBorders>
            <w:shd w:val="clear" w:color="auto" w:fill="FFFFFF"/>
            <w:vAlign w:val="center"/>
          </w:tcPr>
          <w:p w14:paraId="77C60932">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平台云主机服务（包含X86、ARM、C86）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5C4A0">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vCPU（vCPU ARM架构主频不低于2.4GHz，C86和x86主频不低于2.2GHz，平均虚拟化率，即物理CPU/虚拟CPU≥1/4，虚拟CPU利用率不低于物理CPU的25%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1DCCD">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1CPU</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7E27">
            <w:pPr>
              <w:pStyle w:val="9"/>
              <w:spacing w:line="560" w:lineRule="exact"/>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4850</w:t>
            </w:r>
          </w:p>
        </w:tc>
      </w:tr>
      <w:tr w14:paraId="3DB76396">
        <w:tblPrEx>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51B68">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C9DD3">
            <w:pPr>
              <w:pStyle w:val="9"/>
              <w:spacing w:line="560" w:lineRule="exact"/>
              <w:rPr>
                <w:rFonts w:hint="eastAsia" w:asciiTheme="majorEastAsia" w:hAnsiTheme="majorEastAsia" w:eastAsiaTheme="majorEastAsia" w:cstheme="majorEastAsia"/>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vAlign w:val="center"/>
          </w:tcPr>
          <w:p w14:paraId="361DB097">
            <w:pPr>
              <w:pStyle w:val="9"/>
              <w:spacing w:line="560" w:lineRule="exact"/>
              <w:rPr>
                <w:rFonts w:hint="eastAsia" w:asciiTheme="majorEastAsia" w:hAnsiTheme="majorEastAsia" w:eastAsiaTheme="majorEastAsia" w:cstheme="majorEastAsia"/>
                <w:sz w:val="24"/>
                <w:szCs w:val="24"/>
                <w:highlight w:val="none"/>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1A79">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内存</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0C13F">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1GB</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B1718">
            <w:pPr>
              <w:pStyle w:val="9"/>
              <w:spacing w:line="560" w:lineRule="exact"/>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15600</w:t>
            </w:r>
          </w:p>
        </w:tc>
      </w:tr>
      <w:tr w14:paraId="3EE4D65C">
        <w:tblPrEx>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0013">
            <w:pPr>
              <w:pStyle w:val="9"/>
              <w:spacing w:line="560" w:lineRule="exac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E8CFE">
            <w:pPr>
              <w:pStyle w:val="9"/>
              <w:spacing w:line="560" w:lineRule="exact"/>
              <w:rPr>
                <w:rFonts w:hint="eastAsia" w:asciiTheme="majorEastAsia" w:hAnsiTheme="majorEastAsia" w:eastAsiaTheme="majorEastAsia" w:cstheme="majorEastAsia"/>
                <w:sz w:val="24"/>
                <w:szCs w:val="24"/>
                <w:highlight w:val="none"/>
              </w:rPr>
            </w:pPr>
          </w:p>
        </w:tc>
        <w:tc>
          <w:tcPr>
            <w:tcW w:w="1523" w:type="dxa"/>
            <w:vMerge w:val="restart"/>
            <w:tcBorders>
              <w:top w:val="single" w:color="000000" w:sz="4" w:space="0"/>
              <w:left w:val="single" w:color="000000" w:sz="4" w:space="0"/>
              <w:right w:val="single" w:color="000000" w:sz="4" w:space="0"/>
            </w:tcBorders>
            <w:shd w:val="clear" w:color="auto" w:fill="FFFFFF"/>
            <w:vAlign w:val="center"/>
          </w:tcPr>
          <w:p w14:paraId="24D072B1">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物理服务器租用服务（包含X86、ARM、C86）</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8695">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物理服务器配置1：双路每CPU核数≥32核，主频≥2.0GHz，128G内存，2块600GSAS硬盘，2个HBA卡，2个万兆端口</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A7F2">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825C1">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2</w:t>
            </w:r>
          </w:p>
        </w:tc>
      </w:tr>
      <w:tr w14:paraId="02F62ADD">
        <w:tblPrEx>
          <w:tblCellMar>
            <w:top w:w="0" w:type="dxa"/>
            <w:left w:w="108" w:type="dxa"/>
            <w:bottom w:w="0" w:type="dxa"/>
            <w:right w:w="108" w:type="dxa"/>
          </w:tblCellMar>
        </w:tblPrEx>
        <w:trPr>
          <w:trHeight w:val="48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32599">
            <w:pPr>
              <w:pStyle w:val="9"/>
              <w:spacing w:line="560" w:lineRule="exac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CC1BA">
            <w:pPr>
              <w:pStyle w:val="9"/>
              <w:spacing w:line="560" w:lineRule="exact"/>
              <w:rPr>
                <w:rFonts w:hint="eastAsia" w:asciiTheme="majorEastAsia" w:hAnsiTheme="majorEastAsia" w:eastAsiaTheme="majorEastAsia" w:cstheme="majorEastAsia"/>
                <w:sz w:val="24"/>
                <w:szCs w:val="24"/>
                <w:highlight w:val="none"/>
              </w:rPr>
            </w:pPr>
          </w:p>
        </w:tc>
        <w:tc>
          <w:tcPr>
            <w:tcW w:w="1523" w:type="dxa"/>
            <w:vMerge w:val="continue"/>
            <w:tcBorders>
              <w:left w:val="single" w:color="000000" w:sz="4" w:space="0"/>
              <w:bottom w:val="single" w:color="000000" w:sz="4" w:space="0"/>
              <w:right w:val="single" w:color="000000" w:sz="4" w:space="0"/>
            </w:tcBorders>
            <w:shd w:val="clear" w:color="auto" w:fill="FFFFFF"/>
            <w:vAlign w:val="center"/>
          </w:tcPr>
          <w:p w14:paraId="274B2F6D">
            <w:pPr>
              <w:pStyle w:val="9"/>
              <w:spacing w:line="560" w:lineRule="exact"/>
              <w:rPr>
                <w:rFonts w:hint="eastAsia" w:asciiTheme="majorEastAsia" w:hAnsiTheme="majorEastAsia" w:eastAsiaTheme="majorEastAsia" w:cstheme="majorEastAsia"/>
                <w:sz w:val="24"/>
                <w:szCs w:val="24"/>
                <w:highlight w:val="none"/>
              </w:rPr>
            </w:pP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0957">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物理服务器配置2：四路每CPU核数≥48 核，主频≥2.6Ghz，256G内存，2块600SAS硬盘，2个HBA卡，2个万兆端口</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884D">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6EC24">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p>
        </w:tc>
      </w:tr>
      <w:tr w14:paraId="77395E05">
        <w:tblPrEx>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09208">
            <w:pPr>
              <w:pStyle w:val="9"/>
              <w:spacing w:line="560" w:lineRule="exac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57EC">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存储服务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0D7AC">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普通性能存储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A758">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普通存储（单盘技术指标: 单盘IOPS 2000-5000）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EA08">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w:t>
            </w:r>
            <w:r>
              <w:rPr>
                <w:rFonts w:hint="eastAsia" w:asciiTheme="majorEastAsia" w:hAnsiTheme="majorEastAsia" w:eastAsiaTheme="majorEastAsia" w:cstheme="majorEastAsia"/>
                <w:sz w:val="24"/>
                <w:szCs w:val="24"/>
                <w:highlight w:val="none"/>
                <w:lang w:val="en-US" w:eastAsia="zh-CN" w:bidi="ar"/>
              </w:rPr>
              <w:t>00</w:t>
            </w:r>
            <w:r>
              <w:rPr>
                <w:rFonts w:hint="eastAsia" w:asciiTheme="majorEastAsia" w:hAnsiTheme="majorEastAsia" w:eastAsiaTheme="majorEastAsia" w:cstheme="majorEastAsia"/>
                <w:sz w:val="24"/>
                <w:szCs w:val="24"/>
                <w:highlight w:val="none"/>
                <w:lang w:bidi="ar"/>
              </w:rPr>
              <w:t>GB</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CAA2B">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3173.5</w:t>
            </w:r>
          </w:p>
        </w:tc>
      </w:tr>
      <w:tr w14:paraId="11ABB943">
        <w:tblPrEx>
          <w:tblCellMar>
            <w:top w:w="0" w:type="dxa"/>
            <w:left w:w="108" w:type="dxa"/>
            <w:bottom w:w="0" w:type="dxa"/>
            <w:right w:w="108" w:type="dxa"/>
          </w:tblCellMar>
        </w:tblPrEx>
        <w:trPr>
          <w:trHeight w:val="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9FEC">
            <w:pPr>
              <w:pStyle w:val="9"/>
              <w:spacing w:line="560" w:lineRule="exac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6</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8244">
            <w:pPr>
              <w:pStyle w:val="9"/>
              <w:spacing w:line="560" w:lineRule="exact"/>
              <w:rPr>
                <w:rFonts w:hint="eastAsia" w:asciiTheme="majorEastAsia" w:hAnsiTheme="majorEastAsia" w:eastAsiaTheme="majorEastAsia" w:cstheme="majorEastAsia"/>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43DF">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高性能存储</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B17B">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高性能存储（单盘技术指标：单盘IOPS 10000-25000）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1DC5">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w:t>
            </w:r>
            <w:r>
              <w:rPr>
                <w:rFonts w:hint="eastAsia" w:asciiTheme="majorEastAsia" w:hAnsiTheme="majorEastAsia" w:eastAsiaTheme="majorEastAsia" w:cstheme="majorEastAsia"/>
                <w:sz w:val="24"/>
                <w:szCs w:val="24"/>
                <w:highlight w:val="none"/>
                <w:lang w:val="en-US" w:eastAsia="zh-CN" w:bidi="ar"/>
              </w:rPr>
              <w:t>00</w:t>
            </w:r>
            <w:r>
              <w:rPr>
                <w:rFonts w:hint="eastAsia" w:asciiTheme="majorEastAsia" w:hAnsiTheme="majorEastAsia" w:eastAsiaTheme="majorEastAsia" w:cstheme="majorEastAsia"/>
                <w:sz w:val="24"/>
                <w:szCs w:val="24"/>
                <w:highlight w:val="none"/>
                <w:lang w:bidi="ar"/>
              </w:rPr>
              <w:t>GB</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D26A">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2130.5</w:t>
            </w:r>
          </w:p>
        </w:tc>
      </w:tr>
      <w:tr w14:paraId="4AE18A2D">
        <w:tblPrEx>
          <w:tblCellMar>
            <w:top w:w="0" w:type="dxa"/>
            <w:left w:w="108" w:type="dxa"/>
            <w:bottom w:w="0" w:type="dxa"/>
            <w:right w:w="108" w:type="dxa"/>
          </w:tblCellMar>
        </w:tblPrEx>
        <w:trPr>
          <w:trHeight w:val="2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E7EF">
            <w:pPr>
              <w:pStyle w:val="9"/>
              <w:spacing w:line="560" w:lineRule="exac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7</w:t>
            </w: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7003">
            <w:pPr>
              <w:pStyle w:val="9"/>
              <w:spacing w:line="560" w:lineRule="exact"/>
              <w:rPr>
                <w:rFonts w:hint="eastAsia" w:asciiTheme="majorEastAsia" w:hAnsiTheme="majorEastAsia" w:eastAsiaTheme="majorEastAsia" w:cstheme="majorEastAsia"/>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54776">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本地备份服务</w:t>
            </w:r>
          </w:p>
        </w:tc>
        <w:tc>
          <w:tcPr>
            <w:tcW w:w="2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613E3">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本地备份服务</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A58E">
            <w:pPr>
              <w:pStyle w:val="9"/>
              <w:spacing w:line="5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bidi="ar"/>
              </w:rPr>
              <w:t>1</w:t>
            </w:r>
            <w:r>
              <w:rPr>
                <w:rFonts w:hint="eastAsia" w:asciiTheme="majorEastAsia" w:hAnsiTheme="majorEastAsia" w:eastAsiaTheme="majorEastAsia" w:cstheme="majorEastAsia"/>
                <w:sz w:val="24"/>
                <w:szCs w:val="24"/>
                <w:highlight w:val="none"/>
                <w:lang w:val="en-US" w:eastAsia="zh-CN" w:bidi="ar"/>
              </w:rPr>
              <w:t>00</w:t>
            </w:r>
            <w:r>
              <w:rPr>
                <w:rFonts w:hint="eastAsia" w:asciiTheme="majorEastAsia" w:hAnsiTheme="majorEastAsia" w:eastAsiaTheme="majorEastAsia" w:cstheme="majorEastAsia"/>
                <w:sz w:val="24"/>
                <w:szCs w:val="24"/>
                <w:highlight w:val="none"/>
                <w:lang w:bidi="ar"/>
              </w:rPr>
              <w:t>GB</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FAB8B">
            <w:pPr>
              <w:pStyle w:val="9"/>
              <w:spacing w:line="5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1750</w:t>
            </w:r>
          </w:p>
        </w:tc>
      </w:tr>
    </w:tbl>
    <w:p w14:paraId="1B1B1E52">
      <w:pPr>
        <w:spacing w:line="560" w:lineRule="exact"/>
        <w:ind w:firstLine="480"/>
        <w:rPr>
          <w:rFonts w:hint="eastAsia" w:ascii="宋体" w:hAnsi="宋体" w:cs="宋体"/>
          <w:sz w:val="24"/>
          <w:highlight w:val="none"/>
        </w:rPr>
      </w:pPr>
    </w:p>
    <w:p w14:paraId="3740BF14">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网络资源需求</w:t>
      </w:r>
    </w:p>
    <w:p w14:paraId="439E5629">
      <w:pPr>
        <w:spacing w:line="560" w:lineRule="exact"/>
        <w:ind w:firstLine="480"/>
        <w:rPr>
          <w:rFonts w:hint="eastAsia" w:ascii="宋体" w:hAnsi="宋体" w:cs="宋体"/>
          <w:sz w:val="24"/>
          <w:highlight w:val="none"/>
        </w:rPr>
      </w:pPr>
      <w:r>
        <w:rPr>
          <w:rFonts w:hint="eastAsia" w:ascii="宋体" w:hAnsi="宋体" w:cs="宋体"/>
          <w:sz w:val="24"/>
          <w:highlight w:val="none"/>
        </w:rPr>
        <w:t>投标人须基于市级政务云平台规划的IP地址段，为市财政局提供连续的网络地址段，要求为市财政局提供的网络地址段以C类地址段为最小单位，单个C类地址段不与其它用户复用，须按照市财政局需求，进行互联网、政务外网、生产网、业务网、数据网的地址隔离操作。依据业务应用系统需要，投标人需提供互联网链路带宽服务200Mb，提供互联网IP地址租用并提供备案服务6个，满足</w:t>
      </w:r>
      <w:r>
        <w:rPr>
          <w:rFonts w:ascii="宋体" w:hAnsi="宋体" w:cs="宋体"/>
          <w:sz w:val="24"/>
          <w:highlight w:val="none"/>
        </w:rPr>
        <w:t>IPV4/IPV6</w:t>
      </w:r>
      <w:r>
        <w:rPr>
          <w:rFonts w:hint="eastAsia" w:ascii="宋体" w:hAnsi="宋体" w:cs="宋体"/>
          <w:sz w:val="24"/>
          <w:highlight w:val="none"/>
        </w:rPr>
        <w:t>接入；用于内网主机负载均衡服务</w:t>
      </w:r>
      <w:r>
        <w:rPr>
          <w:rFonts w:hint="eastAsia" w:ascii="宋体" w:hAnsi="宋体" w:cs="宋体"/>
          <w:sz w:val="24"/>
          <w:highlight w:val="none"/>
          <w:lang w:val="en-US" w:eastAsia="zh-CN"/>
        </w:rPr>
        <w:t>3</w:t>
      </w:r>
      <w:r>
        <w:rPr>
          <w:rFonts w:hint="eastAsia" w:ascii="宋体" w:hAnsi="宋体" w:cs="宋体"/>
          <w:sz w:val="24"/>
          <w:highlight w:val="none"/>
        </w:rPr>
        <w:t>0个；用于远程接入维护账号30个。具体如下：</w:t>
      </w:r>
    </w:p>
    <w:tbl>
      <w:tblPr>
        <w:tblStyle w:val="4"/>
        <w:tblW w:w="7976" w:type="dxa"/>
        <w:jc w:val="center"/>
        <w:tblLayout w:type="fixed"/>
        <w:tblCellMar>
          <w:top w:w="0" w:type="dxa"/>
          <w:left w:w="108" w:type="dxa"/>
          <w:bottom w:w="0" w:type="dxa"/>
          <w:right w:w="108" w:type="dxa"/>
        </w:tblCellMar>
      </w:tblPr>
      <w:tblGrid>
        <w:gridCol w:w="816"/>
        <w:gridCol w:w="865"/>
        <w:gridCol w:w="1409"/>
        <w:gridCol w:w="2547"/>
        <w:gridCol w:w="1383"/>
        <w:gridCol w:w="956"/>
      </w:tblGrid>
      <w:tr w14:paraId="2800B4F7">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auto" w:sz="4" w:space="0"/>
              <w:right w:val="single" w:color="000000" w:sz="4" w:space="0"/>
            </w:tcBorders>
            <w:shd w:val="clear" w:color="auto" w:fill="D7D7D7"/>
            <w:vAlign w:val="center"/>
          </w:tcPr>
          <w:p w14:paraId="1A1F5D22">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872AF6B">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服务类别</w:t>
            </w:r>
          </w:p>
        </w:tc>
        <w:tc>
          <w:tcPr>
            <w:tcW w:w="1409"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6AC997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服务子类</w:t>
            </w:r>
          </w:p>
        </w:tc>
        <w:tc>
          <w:tcPr>
            <w:tcW w:w="254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A4D388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服务项</w:t>
            </w:r>
          </w:p>
        </w:tc>
        <w:tc>
          <w:tcPr>
            <w:tcW w:w="138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156F509">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计价单位</w:t>
            </w:r>
          </w:p>
        </w:tc>
        <w:tc>
          <w:tcPr>
            <w:tcW w:w="95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5131C3C">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数量</w:t>
            </w:r>
          </w:p>
        </w:tc>
      </w:tr>
      <w:tr w14:paraId="6AA4F279">
        <w:tblPrEx>
          <w:tblCellMar>
            <w:top w:w="0" w:type="dxa"/>
            <w:left w:w="108" w:type="dxa"/>
            <w:bottom w:w="0" w:type="dxa"/>
            <w:right w:w="108" w:type="dxa"/>
          </w:tblCellMar>
        </w:tblPrEx>
        <w:trPr>
          <w:trHeight w:val="28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F61114">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w:t>
            </w:r>
          </w:p>
        </w:tc>
        <w:tc>
          <w:tcPr>
            <w:tcW w:w="865" w:type="dxa"/>
            <w:vMerge w:val="restart"/>
            <w:tcBorders>
              <w:top w:val="single" w:color="000000" w:sz="4" w:space="0"/>
              <w:left w:val="single" w:color="auto" w:sz="4" w:space="0"/>
              <w:bottom w:val="single" w:color="000000" w:sz="4" w:space="0"/>
              <w:right w:val="single" w:color="000000" w:sz="4" w:space="0"/>
            </w:tcBorders>
            <w:shd w:val="clear" w:color="auto" w:fill="FFFFFF"/>
            <w:noWrap/>
            <w:vAlign w:val="center"/>
          </w:tcPr>
          <w:p w14:paraId="5BE158C2">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网络服务</w:t>
            </w:r>
          </w:p>
        </w:tc>
        <w:tc>
          <w:tcPr>
            <w:tcW w:w="1409" w:type="dxa"/>
            <w:vMerge w:val="restart"/>
            <w:tcBorders>
              <w:top w:val="single" w:color="000000" w:sz="4" w:space="0"/>
              <w:left w:val="single" w:color="000000" w:sz="4" w:space="0"/>
              <w:right w:val="single" w:color="000000" w:sz="4" w:space="0"/>
            </w:tcBorders>
            <w:shd w:val="clear" w:color="auto" w:fill="FFFFFF"/>
            <w:vAlign w:val="center"/>
          </w:tcPr>
          <w:p w14:paraId="0D192460">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互联网链路服务</w:t>
            </w:r>
          </w:p>
        </w:tc>
        <w:tc>
          <w:tcPr>
            <w:tcW w:w="2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5C2B">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互联网链路带宽</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BF40">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1Mb</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BECF3">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200</w:t>
            </w:r>
          </w:p>
        </w:tc>
      </w:tr>
      <w:tr w14:paraId="74854E37">
        <w:tblPrEx>
          <w:tblCellMar>
            <w:top w:w="0" w:type="dxa"/>
            <w:left w:w="108" w:type="dxa"/>
            <w:bottom w:w="0" w:type="dxa"/>
            <w:right w:w="108" w:type="dxa"/>
          </w:tblCellMar>
        </w:tblPrEx>
        <w:trPr>
          <w:trHeight w:val="56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01DEB7">
            <w:pPr>
              <w:pStyle w:val="9"/>
              <w:spacing w:line="5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865"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690E21E1">
            <w:pPr>
              <w:pStyle w:val="9"/>
              <w:spacing w:line="560" w:lineRule="exact"/>
              <w:rPr>
                <w:rFonts w:hint="eastAsia" w:ascii="宋体" w:hAnsi="宋体" w:cs="宋体"/>
                <w:sz w:val="24"/>
                <w:szCs w:val="24"/>
                <w:highlight w:val="none"/>
              </w:rPr>
            </w:pPr>
          </w:p>
        </w:tc>
        <w:tc>
          <w:tcPr>
            <w:tcW w:w="1409" w:type="dxa"/>
            <w:vMerge w:val="continue"/>
            <w:tcBorders>
              <w:left w:val="single" w:color="000000" w:sz="4" w:space="0"/>
              <w:bottom w:val="single" w:color="000000" w:sz="4" w:space="0"/>
              <w:right w:val="single" w:color="000000" w:sz="4" w:space="0"/>
            </w:tcBorders>
            <w:shd w:val="clear" w:color="auto" w:fill="FFFFFF"/>
            <w:vAlign w:val="center"/>
          </w:tcPr>
          <w:p w14:paraId="69827772">
            <w:pPr>
              <w:pStyle w:val="9"/>
              <w:spacing w:line="560" w:lineRule="exact"/>
              <w:rPr>
                <w:rFonts w:hint="eastAsia" w:ascii="宋体" w:hAnsi="宋体" w:cs="宋体"/>
                <w:sz w:val="24"/>
                <w:szCs w:val="24"/>
                <w:highlight w:val="none"/>
              </w:rPr>
            </w:pPr>
          </w:p>
        </w:tc>
        <w:tc>
          <w:tcPr>
            <w:tcW w:w="2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BF92F">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互联网IP地址租用服务、并提供备案服务</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DD964">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1IP</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E818A">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6</w:t>
            </w:r>
          </w:p>
        </w:tc>
      </w:tr>
      <w:tr w14:paraId="0D4D4894">
        <w:tblPrEx>
          <w:tblCellMar>
            <w:top w:w="0" w:type="dxa"/>
            <w:left w:w="108" w:type="dxa"/>
            <w:bottom w:w="0" w:type="dxa"/>
            <w:right w:w="108" w:type="dxa"/>
          </w:tblCellMar>
        </w:tblPrEx>
        <w:trPr>
          <w:trHeight w:val="28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3E5DAF">
            <w:pPr>
              <w:pStyle w:val="9"/>
              <w:spacing w:line="5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865"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1C7C09A8">
            <w:pPr>
              <w:pStyle w:val="9"/>
              <w:spacing w:line="560" w:lineRule="exact"/>
              <w:rPr>
                <w:rFonts w:hint="eastAsia" w:ascii="宋体" w:hAnsi="宋体" w:cs="宋体"/>
                <w:sz w:val="24"/>
                <w:szCs w:val="24"/>
                <w:highlight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D044C">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主机负载均衡服务</w:t>
            </w:r>
          </w:p>
        </w:tc>
        <w:tc>
          <w:tcPr>
            <w:tcW w:w="2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70E8">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主机负载均衡服务</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55B5B">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1IP（内网）</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8AF4">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tc>
      </w:tr>
      <w:tr w14:paraId="6F07C014">
        <w:tblPrEx>
          <w:tblCellMar>
            <w:top w:w="0" w:type="dxa"/>
            <w:left w:w="108" w:type="dxa"/>
            <w:bottom w:w="0" w:type="dxa"/>
            <w:right w:w="108" w:type="dxa"/>
          </w:tblCellMar>
        </w:tblPrEx>
        <w:trPr>
          <w:trHeight w:val="840" w:hRule="atLeast"/>
          <w:jc w:val="center"/>
        </w:trPr>
        <w:tc>
          <w:tcPr>
            <w:tcW w:w="81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C666803">
            <w:pPr>
              <w:pStyle w:val="9"/>
              <w:spacing w:line="5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D507">
            <w:pPr>
              <w:pStyle w:val="9"/>
              <w:spacing w:line="560" w:lineRule="exact"/>
              <w:rPr>
                <w:rFonts w:hint="eastAsia" w:ascii="宋体" w:hAnsi="宋体" w:cs="宋体"/>
                <w:sz w:val="24"/>
                <w:szCs w:val="24"/>
                <w:highlight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D0A2">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远程接入服务</w:t>
            </w:r>
          </w:p>
        </w:tc>
        <w:tc>
          <w:tcPr>
            <w:tcW w:w="2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5378E">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远程接入运维，每个账号结合身份验证，通过VPN远程接入堡垒机进行维护</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B2EC">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1账号</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F1FB">
            <w:pPr>
              <w:pStyle w:val="9"/>
              <w:spacing w:line="560" w:lineRule="exact"/>
              <w:rPr>
                <w:rFonts w:hint="eastAsia" w:ascii="宋体" w:hAnsi="宋体" w:cs="宋体"/>
                <w:sz w:val="24"/>
                <w:szCs w:val="24"/>
                <w:highlight w:val="none"/>
              </w:rPr>
            </w:pPr>
            <w:r>
              <w:rPr>
                <w:rFonts w:hint="eastAsia" w:ascii="宋体" w:hAnsi="宋体" w:cs="宋体"/>
                <w:sz w:val="24"/>
                <w:szCs w:val="24"/>
                <w:highlight w:val="none"/>
                <w:lang w:bidi="ar"/>
              </w:rPr>
              <w:t>30</w:t>
            </w:r>
          </w:p>
        </w:tc>
      </w:tr>
    </w:tbl>
    <w:p w14:paraId="0C0573B0">
      <w:pPr>
        <w:pStyle w:val="8"/>
        <w:spacing w:line="560" w:lineRule="exact"/>
        <w:rPr>
          <w:rFonts w:hint="eastAsia"/>
          <w:sz w:val="24"/>
          <w:highlight w:val="none"/>
        </w:rPr>
      </w:pPr>
    </w:p>
    <w:p w14:paraId="2EA0CB0F">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其他云服务需求</w:t>
      </w:r>
    </w:p>
    <w:p w14:paraId="65DDAF77">
      <w:pPr>
        <w:spacing w:line="560" w:lineRule="exact"/>
        <w:ind w:firstLine="480"/>
        <w:rPr>
          <w:rFonts w:hint="eastAsia" w:ascii="宋体" w:hAnsi="宋体" w:cs="宋体"/>
          <w:sz w:val="24"/>
          <w:highlight w:val="none"/>
        </w:rPr>
      </w:pPr>
      <w:r>
        <w:rPr>
          <w:rFonts w:hint="eastAsia" w:ascii="宋体" w:hAnsi="宋体" w:cs="宋体"/>
          <w:sz w:val="24"/>
          <w:highlight w:val="none"/>
        </w:rPr>
        <w:t>为满足北京市财政局业务系统改造需求，按业务需求提供</w:t>
      </w:r>
      <w:r>
        <w:rPr>
          <w:rFonts w:hint="eastAsia" w:ascii="宋体" w:hAnsi="宋体" w:cs="宋体"/>
          <w:sz w:val="24"/>
          <w:highlight w:val="none"/>
          <w:lang w:val="en-US" w:eastAsia="zh-CN"/>
        </w:rPr>
        <w:t>相应</w:t>
      </w:r>
      <w:r>
        <w:rPr>
          <w:rFonts w:hint="eastAsia" w:ascii="宋体" w:hAnsi="宋体" w:cs="宋体"/>
          <w:sz w:val="24"/>
          <w:highlight w:val="none"/>
        </w:rPr>
        <w:t>云服务资源。同时对380台云主机以及物理服务器提供主机杀毒服务，提供应急演练服务1套，提供分布式数据库相关服务，其他服务需求具体如下：</w:t>
      </w:r>
    </w:p>
    <w:tbl>
      <w:tblPr>
        <w:tblStyle w:val="4"/>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843"/>
        <w:gridCol w:w="1660"/>
        <w:gridCol w:w="1358"/>
        <w:gridCol w:w="992"/>
      </w:tblGrid>
      <w:tr w14:paraId="3525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7" w:type="dxa"/>
            <w:shd w:val="clear" w:color="000000" w:fill="D9D9D9"/>
            <w:vAlign w:val="center"/>
          </w:tcPr>
          <w:p w14:paraId="6C9F2766">
            <w:pPr>
              <w:pStyle w:val="9"/>
              <w:spacing w:line="560" w:lineRule="exact"/>
              <w:jc w:val="center"/>
              <w:rPr>
                <w:rFonts w:hint="eastAsia" w:ascii="宋体" w:hAnsi="宋体" w:cs="宋体"/>
                <w:sz w:val="24"/>
                <w:szCs w:val="24"/>
                <w:highlight w:val="none"/>
              </w:rPr>
            </w:pPr>
            <w:bookmarkStart w:id="24" w:name="_Hlk146640145"/>
            <w:r>
              <w:rPr>
                <w:rFonts w:hint="eastAsia" w:ascii="宋体" w:hAnsi="宋体" w:cs="宋体"/>
                <w:sz w:val="24"/>
                <w:szCs w:val="24"/>
                <w:highlight w:val="none"/>
              </w:rPr>
              <w:t>序号</w:t>
            </w:r>
          </w:p>
        </w:tc>
        <w:tc>
          <w:tcPr>
            <w:tcW w:w="1276" w:type="dxa"/>
            <w:shd w:val="clear" w:color="000000" w:fill="D9D9D9"/>
            <w:vAlign w:val="center"/>
          </w:tcPr>
          <w:p w14:paraId="1C3723F2">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服务类别</w:t>
            </w:r>
          </w:p>
        </w:tc>
        <w:tc>
          <w:tcPr>
            <w:tcW w:w="1843" w:type="dxa"/>
            <w:shd w:val="clear" w:color="000000" w:fill="D9D9D9"/>
            <w:vAlign w:val="center"/>
          </w:tcPr>
          <w:p w14:paraId="1761376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服务子类</w:t>
            </w:r>
          </w:p>
        </w:tc>
        <w:tc>
          <w:tcPr>
            <w:tcW w:w="1660" w:type="dxa"/>
            <w:shd w:val="clear" w:color="000000" w:fill="D9D9D9"/>
            <w:vAlign w:val="center"/>
          </w:tcPr>
          <w:p w14:paraId="6200007B">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服务项</w:t>
            </w:r>
          </w:p>
        </w:tc>
        <w:tc>
          <w:tcPr>
            <w:tcW w:w="1358" w:type="dxa"/>
            <w:shd w:val="clear" w:color="000000" w:fill="D9D9D9"/>
            <w:vAlign w:val="center"/>
          </w:tcPr>
          <w:p w14:paraId="3123B3AA">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计价单位</w:t>
            </w:r>
          </w:p>
        </w:tc>
        <w:tc>
          <w:tcPr>
            <w:tcW w:w="992" w:type="dxa"/>
            <w:shd w:val="clear" w:color="000000" w:fill="D9D9D9"/>
            <w:vAlign w:val="center"/>
          </w:tcPr>
          <w:p w14:paraId="1131AF90">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数量</w:t>
            </w:r>
          </w:p>
        </w:tc>
      </w:tr>
      <w:tr w14:paraId="635E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0145DEA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276" w:type="dxa"/>
            <w:vMerge w:val="restart"/>
            <w:shd w:val="clear" w:color="000000" w:fill="FFFFFF"/>
            <w:vAlign w:val="center"/>
          </w:tcPr>
          <w:p w14:paraId="4FF8B4C6">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其他服务</w:t>
            </w:r>
          </w:p>
        </w:tc>
        <w:tc>
          <w:tcPr>
            <w:tcW w:w="1843" w:type="dxa"/>
            <w:shd w:val="clear" w:color="000000" w:fill="FFFFFF"/>
            <w:vAlign w:val="center"/>
          </w:tcPr>
          <w:p w14:paraId="0CD1F94C">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主机杀毒服务</w:t>
            </w:r>
          </w:p>
        </w:tc>
        <w:tc>
          <w:tcPr>
            <w:tcW w:w="1660" w:type="dxa"/>
            <w:shd w:val="clear" w:color="000000" w:fill="FFFFFF"/>
            <w:vAlign w:val="center"/>
          </w:tcPr>
          <w:p w14:paraId="0C921EB3">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主机杀毒服务</w:t>
            </w:r>
          </w:p>
        </w:tc>
        <w:tc>
          <w:tcPr>
            <w:tcW w:w="1358" w:type="dxa"/>
            <w:shd w:val="clear" w:color="000000" w:fill="FFFFFF"/>
            <w:vAlign w:val="center"/>
          </w:tcPr>
          <w:p w14:paraId="65FCFC1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1台</w:t>
            </w:r>
          </w:p>
        </w:tc>
        <w:tc>
          <w:tcPr>
            <w:tcW w:w="992" w:type="dxa"/>
            <w:shd w:val="clear" w:color="000000" w:fill="FFFFFF"/>
            <w:noWrap/>
            <w:vAlign w:val="center"/>
          </w:tcPr>
          <w:p w14:paraId="4D1CE3C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380</w:t>
            </w:r>
          </w:p>
        </w:tc>
      </w:tr>
      <w:tr w14:paraId="4521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2C27D1A9">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276" w:type="dxa"/>
            <w:vMerge w:val="continue"/>
            <w:shd w:val="clear" w:color="000000" w:fill="FFFFFF"/>
            <w:vAlign w:val="center"/>
          </w:tcPr>
          <w:p w14:paraId="7A6D2BB3">
            <w:pPr>
              <w:pStyle w:val="9"/>
              <w:spacing w:line="560" w:lineRule="exact"/>
              <w:jc w:val="center"/>
              <w:rPr>
                <w:rFonts w:hint="eastAsia" w:ascii="宋体" w:hAnsi="宋体" w:cs="宋体"/>
                <w:sz w:val="24"/>
                <w:szCs w:val="24"/>
                <w:highlight w:val="none"/>
              </w:rPr>
            </w:pPr>
          </w:p>
        </w:tc>
        <w:tc>
          <w:tcPr>
            <w:tcW w:w="1843" w:type="dxa"/>
            <w:shd w:val="clear" w:color="000000" w:fill="FFFFFF"/>
            <w:vAlign w:val="center"/>
          </w:tcPr>
          <w:p w14:paraId="57E2738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应急演练服务</w:t>
            </w:r>
          </w:p>
        </w:tc>
        <w:tc>
          <w:tcPr>
            <w:tcW w:w="1660" w:type="dxa"/>
            <w:shd w:val="clear" w:color="000000" w:fill="FFFFFF"/>
            <w:vAlign w:val="center"/>
          </w:tcPr>
          <w:p w14:paraId="2258E4F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应急演练服务</w:t>
            </w:r>
          </w:p>
        </w:tc>
        <w:tc>
          <w:tcPr>
            <w:tcW w:w="1358" w:type="dxa"/>
            <w:shd w:val="clear" w:color="000000" w:fill="FFFFFF"/>
            <w:vAlign w:val="center"/>
          </w:tcPr>
          <w:p w14:paraId="3A721C99">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1次</w:t>
            </w:r>
          </w:p>
        </w:tc>
        <w:tc>
          <w:tcPr>
            <w:tcW w:w="992" w:type="dxa"/>
            <w:shd w:val="clear" w:color="000000" w:fill="FFFFFF"/>
            <w:noWrap/>
            <w:vAlign w:val="center"/>
          </w:tcPr>
          <w:p w14:paraId="7FEA9C4D">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1</w:t>
            </w:r>
          </w:p>
        </w:tc>
      </w:tr>
      <w:tr w14:paraId="00D4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31783A25">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276" w:type="dxa"/>
            <w:vMerge w:val="continue"/>
            <w:shd w:val="clear" w:color="000000" w:fill="FFFFFF"/>
            <w:vAlign w:val="center"/>
          </w:tcPr>
          <w:p w14:paraId="578BC28F">
            <w:pPr>
              <w:pStyle w:val="9"/>
              <w:spacing w:line="560" w:lineRule="exact"/>
              <w:jc w:val="center"/>
              <w:rPr>
                <w:rFonts w:hint="eastAsia" w:ascii="宋体" w:hAnsi="宋体" w:cs="宋体"/>
                <w:sz w:val="24"/>
                <w:szCs w:val="24"/>
                <w:highlight w:val="none"/>
              </w:rPr>
            </w:pPr>
          </w:p>
        </w:tc>
        <w:tc>
          <w:tcPr>
            <w:tcW w:w="1843" w:type="dxa"/>
            <w:vMerge w:val="restart"/>
            <w:shd w:val="clear" w:color="000000" w:fill="FFFFFF"/>
            <w:vAlign w:val="center"/>
          </w:tcPr>
          <w:p w14:paraId="35B1872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分布式数据库服务租用</w:t>
            </w:r>
          </w:p>
        </w:tc>
        <w:tc>
          <w:tcPr>
            <w:tcW w:w="1660" w:type="dxa"/>
            <w:shd w:val="clear" w:color="000000" w:fill="FFFFFF"/>
            <w:vAlign w:val="center"/>
          </w:tcPr>
          <w:p w14:paraId="011D136C">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分布式数据库服务监控节点服务器租用（国产）</w:t>
            </w:r>
          </w:p>
        </w:tc>
        <w:tc>
          <w:tcPr>
            <w:tcW w:w="1358" w:type="dxa"/>
            <w:shd w:val="clear" w:color="000000" w:fill="FFFFFF"/>
            <w:vAlign w:val="center"/>
          </w:tcPr>
          <w:p w14:paraId="066E76F9">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1台</w:t>
            </w:r>
          </w:p>
        </w:tc>
        <w:tc>
          <w:tcPr>
            <w:tcW w:w="992" w:type="dxa"/>
            <w:shd w:val="clear" w:color="000000" w:fill="FFFFFF"/>
            <w:noWrap/>
            <w:vAlign w:val="center"/>
          </w:tcPr>
          <w:p w14:paraId="7DF72AC1">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w:t>
            </w:r>
          </w:p>
        </w:tc>
      </w:tr>
      <w:tr w14:paraId="4E6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7ACE1680">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276" w:type="dxa"/>
            <w:vMerge w:val="continue"/>
            <w:shd w:val="clear" w:color="000000" w:fill="FFFFFF"/>
            <w:vAlign w:val="center"/>
          </w:tcPr>
          <w:p w14:paraId="542E0ABE">
            <w:pPr>
              <w:pStyle w:val="9"/>
              <w:spacing w:line="560" w:lineRule="exact"/>
              <w:jc w:val="center"/>
              <w:rPr>
                <w:rFonts w:hint="eastAsia" w:ascii="宋体" w:hAnsi="宋体" w:cs="宋体"/>
                <w:sz w:val="24"/>
                <w:szCs w:val="24"/>
                <w:highlight w:val="none"/>
              </w:rPr>
            </w:pPr>
          </w:p>
        </w:tc>
        <w:tc>
          <w:tcPr>
            <w:tcW w:w="1843" w:type="dxa"/>
            <w:vMerge w:val="continue"/>
            <w:shd w:val="clear" w:color="000000" w:fill="FFFFFF"/>
            <w:vAlign w:val="center"/>
          </w:tcPr>
          <w:p w14:paraId="3AE93982">
            <w:pPr>
              <w:pStyle w:val="9"/>
              <w:spacing w:line="560" w:lineRule="exact"/>
              <w:jc w:val="center"/>
              <w:rPr>
                <w:rFonts w:hint="eastAsia" w:ascii="宋体" w:hAnsi="宋体" w:cs="宋体"/>
                <w:sz w:val="24"/>
                <w:szCs w:val="24"/>
                <w:highlight w:val="none"/>
              </w:rPr>
            </w:pPr>
          </w:p>
        </w:tc>
        <w:tc>
          <w:tcPr>
            <w:tcW w:w="1660" w:type="dxa"/>
            <w:shd w:val="clear" w:color="000000" w:fill="FFFFFF"/>
            <w:vAlign w:val="center"/>
          </w:tcPr>
          <w:p w14:paraId="09AF0F87">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分布式数据库服务计算节点服务器租用（国产）</w:t>
            </w:r>
          </w:p>
        </w:tc>
        <w:tc>
          <w:tcPr>
            <w:tcW w:w="1358" w:type="dxa"/>
            <w:shd w:val="clear" w:color="000000" w:fill="FFFFFF"/>
            <w:vAlign w:val="center"/>
          </w:tcPr>
          <w:p w14:paraId="3F0EA7BA">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1台</w:t>
            </w:r>
          </w:p>
        </w:tc>
        <w:tc>
          <w:tcPr>
            <w:tcW w:w="992" w:type="dxa"/>
            <w:shd w:val="clear" w:color="000000" w:fill="FFFFFF"/>
            <w:noWrap/>
            <w:vAlign w:val="center"/>
          </w:tcPr>
          <w:p w14:paraId="6C00412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2</w:t>
            </w:r>
          </w:p>
        </w:tc>
      </w:tr>
      <w:tr w14:paraId="06D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33FD8EDC">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1276" w:type="dxa"/>
            <w:vMerge w:val="continue"/>
            <w:shd w:val="clear" w:color="000000" w:fill="FFFFFF"/>
            <w:vAlign w:val="center"/>
          </w:tcPr>
          <w:p w14:paraId="38E4255E">
            <w:pPr>
              <w:pStyle w:val="9"/>
              <w:spacing w:line="560" w:lineRule="exact"/>
              <w:jc w:val="center"/>
              <w:rPr>
                <w:rFonts w:hint="eastAsia" w:ascii="宋体" w:hAnsi="宋体" w:cs="宋体"/>
                <w:sz w:val="24"/>
                <w:szCs w:val="24"/>
                <w:highlight w:val="none"/>
              </w:rPr>
            </w:pPr>
          </w:p>
        </w:tc>
        <w:tc>
          <w:tcPr>
            <w:tcW w:w="1843" w:type="dxa"/>
            <w:vMerge w:val="continue"/>
            <w:shd w:val="clear" w:color="000000" w:fill="FFFFFF"/>
            <w:vAlign w:val="center"/>
          </w:tcPr>
          <w:p w14:paraId="6EDA91AC">
            <w:pPr>
              <w:pStyle w:val="9"/>
              <w:spacing w:line="560" w:lineRule="exact"/>
              <w:jc w:val="center"/>
              <w:rPr>
                <w:rFonts w:hint="eastAsia" w:ascii="宋体" w:hAnsi="宋体" w:cs="宋体"/>
                <w:sz w:val="24"/>
                <w:szCs w:val="24"/>
                <w:highlight w:val="none"/>
              </w:rPr>
            </w:pPr>
          </w:p>
        </w:tc>
        <w:tc>
          <w:tcPr>
            <w:tcW w:w="1660" w:type="dxa"/>
            <w:shd w:val="clear" w:color="000000" w:fill="FFFFFF"/>
            <w:vAlign w:val="center"/>
          </w:tcPr>
          <w:p w14:paraId="67B66FA1">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分布式数据库服务存储节点服务器租用（国产）</w:t>
            </w:r>
          </w:p>
        </w:tc>
        <w:tc>
          <w:tcPr>
            <w:tcW w:w="1358" w:type="dxa"/>
            <w:shd w:val="clear" w:color="000000" w:fill="FFFFFF"/>
            <w:vAlign w:val="center"/>
          </w:tcPr>
          <w:p w14:paraId="6150D87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1台</w:t>
            </w:r>
          </w:p>
        </w:tc>
        <w:tc>
          <w:tcPr>
            <w:tcW w:w="992" w:type="dxa"/>
            <w:shd w:val="clear" w:color="000000" w:fill="FFFFFF"/>
            <w:noWrap/>
            <w:vAlign w:val="center"/>
          </w:tcPr>
          <w:p w14:paraId="789224F9">
            <w:pPr>
              <w:pStyle w:val="9"/>
              <w:spacing w:line="5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tr w14:paraId="76C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13FC7B27">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276" w:type="dxa"/>
            <w:vMerge w:val="continue"/>
            <w:shd w:val="clear" w:color="000000" w:fill="FFFFFF"/>
            <w:vAlign w:val="center"/>
          </w:tcPr>
          <w:p w14:paraId="47D11115">
            <w:pPr>
              <w:pStyle w:val="9"/>
              <w:spacing w:line="560" w:lineRule="exact"/>
              <w:jc w:val="center"/>
              <w:rPr>
                <w:rFonts w:hint="eastAsia" w:ascii="宋体" w:hAnsi="宋体" w:cs="宋体"/>
                <w:sz w:val="24"/>
                <w:szCs w:val="24"/>
                <w:highlight w:val="none"/>
              </w:rPr>
            </w:pPr>
          </w:p>
        </w:tc>
        <w:tc>
          <w:tcPr>
            <w:tcW w:w="1843" w:type="dxa"/>
            <w:vMerge w:val="continue"/>
            <w:shd w:val="clear" w:color="000000" w:fill="FFFFFF"/>
            <w:vAlign w:val="center"/>
          </w:tcPr>
          <w:p w14:paraId="76A220F0">
            <w:pPr>
              <w:pStyle w:val="9"/>
              <w:spacing w:line="560" w:lineRule="exact"/>
              <w:jc w:val="center"/>
              <w:rPr>
                <w:rFonts w:hint="eastAsia" w:ascii="宋体" w:hAnsi="宋体" w:cs="宋体"/>
                <w:sz w:val="24"/>
                <w:szCs w:val="24"/>
                <w:highlight w:val="none"/>
              </w:rPr>
            </w:pPr>
          </w:p>
        </w:tc>
        <w:tc>
          <w:tcPr>
            <w:tcW w:w="1660" w:type="dxa"/>
            <w:shd w:val="clear" w:color="000000" w:fill="FFFFFF"/>
            <w:vAlign w:val="center"/>
          </w:tcPr>
          <w:p w14:paraId="5DD528EF">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分布式数据库服务IB交换机租用</w:t>
            </w:r>
          </w:p>
        </w:tc>
        <w:tc>
          <w:tcPr>
            <w:tcW w:w="1358" w:type="dxa"/>
            <w:shd w:val="clear" w:color="000000" w:fill="FFFFFF"/>
            <w:vAlign w:val="center"/>
          </w:tcPr>
          <w:p w14:paraId="3761AAF2">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1台</w:t>
            </w:r>
          </w:p>
        </w:tc>
        <w:tc>
          <w:tcPr>
            <w:tcW w:w="992" w:type="dxa"/>
            <w:shd w:val="clear" w:color="000000" w:fill="FFFFFF"/>
            <w:noWrap/>
            <w:vAlign w:val="center"/>
          </w:tcPr>
          <w:p w14:paraId="591422CB">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2</w:t>
            </w:r>
          </w:p>
        </w:tc>
      </w:tr>
      <w:tr w14:paraId="4FBC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736587E9">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276" w:type="dxa"/>
            <w:vMerge w:val="continue"/>
            <w:shd w:val="clear" w:color="000000" w:fill="FFFFFF"/>
            <w:vAlign w:val="center"/>
          </w:tcPr>
          <w:p w14:paraId="7F73F7E4">
            <w:pPr>
              <w:pStyle w:val="9"/>
              <w:spacing w:line="560" w:lineRule="exact"/>
              <w:jc w:val="center"/>
              <w:rPr>
                <w:rFonts w:hint="eastAsia" w:ascii="宋体" w:hAnsi="宋体" w:cs="宋体"/>
                <w:sz w:val="24"/>
                <w:szCs w:val="24"/>
                <w:highlight w:val="none"/>
              </w:rPr>
            </w:pPr>
          </w:p>
        </w:tc>
        <w:tc>
          <w:tcPr>
            <w:tcW w:w="1843" w:type="dxa"/>
            <w:vMerge w:val="continue"/>
            <w:shd w:val="clear" w:color="000000" w:fill="FFFFFF"/>
            <w:vAlign w:val="center"/>
          </w:tcPr>
          <w:p w14:paraId="2083165E">
            <w:pPr>
              <w:pStyle w:val="9"/>
              <w:spacing w:line="560" w:lineRule="exact"/>
              <w:jc w:val="center"/>
              <w:rPr>
                <w:rFonts w:hint="eastAsia" w:ascii="宋体" w:hAnsi="宋体" w:cs="宋体"/>
                <w:sz w:val="24"/>
                <w:szCs w:val="24"/>
                <w:highlight w:val="none"/>
              </w:rPr>
            </w:pPr>
          </w:p>
        </w:tc>
        <w:tc>
          <w:tcPr>
            <w:tcW w:w="1660" w:type="dxa"/>
            <w:shd w:val="clear" w:color="000000" w:fill="FFFFFF"/>
            <w:vAlign w:val="center"/>
          </w:tcPr>
          <w:p w14:paraId="77BDF9AE">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副本数据管理软件（CDM）租用</w:t>
            </w:r>
          </w:p>
        </w:tc>
        <w:tc>
          <w:tcPr>
            <w:tcW w:w="1358" w:type="dxa"/>
            <w:shd w:val="clear" w:color="000000" w:fill="FFFFFF"/>
            <w:vAlign w:val="center"/>
          </w:tcPr>
          <w:p w14:paraId="1D216655">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TB</w:t>
            </w:r>
          </w:p>
        </w:tc>
        <w:tc>
          <w:tcPr>
            <w:tcW w:w="992" w:type="dxa"/>
            <w:shd w:val="clear" w:color="000000" w:fill="FFFFFF"/>
            <w:noWrap/>
            <w:vAlign w:val="center"/>
          </w:tcPr>
          <w:p w14:paraId="79376EC3">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2</w:t>
            </w:r>
          </w:p>
        </w:tc>
      </w:tr>
      <w:tr w14:paraId="297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000000" w:fill="FFFFFF"/>
            <w:noWrap/>
            <w:vAlign w:val="center"/>
          </w:tcPr>
          <w:p w14:paraId="61CD4232">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276" w:type="dxa"/>
            <w:vMerge w:val="continue"/>
            <w:shd w:val="clear" w:color="000000" w:fill="FFFFFF"/>
            <w:vAlign w:val="center"/>
          </w:tcPr>
          <w:p w14:paraId="4BE7C0B2">
            <w:pPr>
              <w:pStyle w:val="9"/>
              <w:spacing w:line="560" w:lineRule="exact"/>
              <w:jc w:val="center"/>
              <w:rPr>
                <w:rFonts w:hint="eastAsia" w:ascii="宋体" w:hAnsi="宋体" w:cs="宋体"/>
                <w:sz w:val="24"/>
                <w:szCs w:val="24"/>
                <w:highlight w:val="none"/>
              </w:rPr>
            </w:pPr>
          </w:p>
        </w:tc>
        <w:tc>
          <w:tcPr>
            <w:tcW w:w="1843" w:type="dxa"/>
            <w:vMerge w:val="continue"/>
            <w:shd w:val="clear" w:color="000000" w:fill="FFFFFF"/>
            <w:vAlign w:val="center"/>
          </w:tcPr>
          <w:p w14:paraId="012AD12E">
            <w:pPr>
              <w:pStyle w:val="9"/>
              <w:spacing w:line="560" w:lineRule="exact"/>
              <w:jc w:val="center"/>
              <w:rPr>
                <w:rFonts w:hint="eastAsia" w:ascii="宋体" w:hAnsi="宋体" w:cs="宋体"/>
                <w:sz w:val="24"/>
                <w:szCs w:val="24"/>
                <w:highlight w:val="none"/>
              </w:rPr>
            </w:pPr>
          </w:p>
        </w:tc>
        <w:tc>
          <w:tcPr>
            <w:tcW w:w="1660" w:type="dxa"/>
            <w:shd w:val="clear" w:color="000000" w:fill="FFFFFF"/>
            <w:vAlign w:val="center"/>
          </w:tcPr>
          <w:p w14:paraId="5B42C36F">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存储节点管理软件授权license租用</w:t>
            </w:r>
          </w:p>
        </w:tc>
        <w:tc>
          <w:tcPr>
            <w:tcW w:w="1358" w:type="dxa"/>
            <w:shd w:val="clear" w:color="000000" w:fill="FFFFFF"/>
            <w:vAlign w:val="center"/>
          </w:tcPr>
          <w:p w14:paraId="706C33FC">
            <w:pPr>
              <w:pStyle w:val="9"/>
              <w:spacing w:line="560" w:lineRule="exact"/>
              <w:jc w:val="center"/>
              <w:rPr>
                <w:rFonts w:hint="eastAsia" w:ascii="宋体" w:hAnsi="宋体" w:cs="宋体"/>
                <w:sz w:val="24"/>
                <w:szCs w:val="24"/>
                <w:highlight w:val="none"/>
              </w:rPr>
            </w:pPr>
            <w:r>
              <w:rPr>
                <w:rFonts w:hint="eastAsia" w:ascii="宋体" w:hAnsi="宋体" w:cs="宋体"/>
                <w:sz w:val="24"/>
                <w:szCs w:val="24"/>
                <w:highlight w:val="none"/>
                <w:lang w:bidi="ar"/>
              </w:rPr>
              <w:t>1套</w:t>
            </w:r>
          </w:p>
        </w:tc>
        <w:tc>
          <w:tcPr>
            <w:tcW w:w="992" w:type="dxa"/>
            <w:shd w:val="clear" w:color="000000" w:fill="FFFFFF"/>
            <w:noWrap/>
            <w:vAlign w:val="center"/>
          </w:tcPr>
          <w:p w14:paraId="01DC1D91">
            <w:pPr>
              <w:pStyle w:val="9"/>
              <w:spacing w:line="5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bookmarkEnd w:id="24"/>
    </w:tbl>
    <w:p w14:paraId="44D7473F">
      <w:pPr>
        <w:pStyle w:val="8"/>
        <w:spacing w:line="560" w:lineRule="exact"/>
        <w:ind w:firstLine="0"/>
        <w:rPr>
          <w:rFonts w:hint="eastAsia"/>
          <w:sz w:val="24"/>
          <w:highlight w:val="none"/>
        </w:rPr>
      </w:pPr>
    </w:p>
    <w:p w14:paraId="09418F8E">
      <w:pPr>
        <w:pStyle w:val="6"/>
        <w:numPr>
          <w:ilvl w:val="3"/>
          <w:numId w:val="3"/>
        </w:numPr>
        <w:spacing w:before="240" w:after="120"/>
        <w:ind w:left="720" w:hanging="720"/>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性能、安全、业务连续性等需求</w:t>
      </w:r>
    </w:p>
    <w:p w14:paraId="58B121D6">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云平台性能需求</w:t>
      </w:r>
    </w:p>
    <w:p w14:paraId="05DCBDE6">
      <w:pPr>
        <w:spacing w:line="560" w:lineRule="exact"/>
        <w:ind w:firstLine="480"/>
        <w:rPr>
          <w:rFonts w:hint="eastAsia" w:ascii="宋体" w:hAnsi="宋体" w:cs="宋体"/>
          <w:sz w:val="24"/>
          <w:highlight w:val="none"/>
        </w:rPr>
      </w:pPr>
      <w:r>
        <w:rPr>
          <w:rFonts w:hint="eastAsia" w:ascii="宋体" w:hAnsi="宋体" w:cs="宋体"/>
          <w:sz w:val="24"/>
          <w:highlight w:val="none"/>
        </w:rPr>
        <w:t>1.系统性能指标要求</w:t>
      </w:r>
    </w:p>
    <w:p w14:paraId="1CD687CC">
      <w:pPr>
        <w:spacing w:line="560" w:lineRule="exact"/>
        <w:ind w:firstLine="480"/>
        <w:rPr>
          <w:rFonts w:hint="eastAsia" w:ascii="宋体" w:hAnsi="宋体" w:cs="宋体"/>
          <w:sz w:val="24"/>
          <w:highlight w:val="none"/>
        </w:rPr>
      </w:pPr>
      <w:r>
        <w:rPr>
          <w:rFonts w:hint="eastAsia" w:ascii="宋体" w:hAnsi="宋体" w:cs="宋体"/>
          <w:sz w:val="24"/>
          <w:highlight w:val="none"/>
        </w:rPr>
        <w:t>云平台基础软件、硬件环境可达到365天7*24小时不间断运行的要求，云平台整体可用性不低于99.99%，数据可靠性不低于99.9999%。</w:t>
      </w:r>
    </w:p>
    <w:p w14:paraId="37F2485A">
      <w:pPr>
        <w:spacing w:line="560" w:lineRule="exact"/>
        <w:ind w:firstLine="480"/>
        <w:rPr>
          <w:rFonts w:hint="eastAsia" w:ascii="宋体" w:hAnsi="宋体" w:cs="宋体"/>
          <w:sz w:val="24"/>
          <w:highlight w:val="none"/>
        </w:rPr>
      </w:pPr>
      <w:r>
        <w:rPr>
          <w:rFonts w:hint="eastAsia" w:ascii="宋体" w:hAnsi="宋体" w:cs="宋体"/>
          <w:sz w:val="24"/>
          <w:highlight w:val="none"/>
        </w:rPr>
        <w:t>2.用户权限控制要求</w:t>
      </w:r>
    </w:p>
    <w:p w14:paraId="2CB06D22">
      <w:pPr>
        <w:spacing w:line="560" w:lineRule="exact"/>
        <w:ind w:firstLine="480"/>
        <w:rPr>
          <w:rFonts w:hint="eastAsia" w:ascii="宋体" w:hAnsi="宋体" w:cs="宋体"/>
          <w:sz w:val="24"/>
          <w:highlight w:val="none"/>
        </w:rPr>
      </w:pPr>
      <w:r>
        <w:rPr>
          <w:rFonts w:hint="eastAsia" w:ascii="宋体" w:hAnsi="宋体" w:cs="宋体"/>
          <w:sz w:val="24"/>
          <w:highlight w:val="none"/>
        </w:rPr>
        <w:t>云平台管理由北京市财政局统一授权，非授权人不得登录政务云平台管理北京市财政局资源。系统开发商的权限进行细粒度划分，每个开发商只能管理本单位负责运维的系统资源，各开发商之间进行权限隔离。</w:t>
      </w:r>
    </w:p>
    <w:p w14:paraId="1C7B806F">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bookmarkStart w:id="25" w:name="_Toc176186880"/>
      <w:bookmarkStart w:id="26" w:name="_Toc10642"/>
      <w:r>
        <w:rPr>
          <w:rFonts w:hint="eastAsia" w:ascii="宋体" w:hAnsi="宋体" w:eastAsia="宋体" w:cs="宋体"/>
          <w:sz w:val="24"/>
          <w:szCs w:val="24"/>
          <w:highlight w:val="none"/>
          <w:lang w:val="en-US" w:eastAsia="zh-CN"/>
        </w:rPr>
        <w:t>安全管理能力要求</w:t>
      </w:r>
      <w:bookmarkEnd w:id="25"/>
      <w:bookmarkEnd w:id="26"/>
    </w:p>
    <w:p w14:paraId="5E3ADA6C">
      <w:pPr>
        <w:spacing w:line="560" w:lineRule="exact"/>
        <w:ind w:firstLine="480"/>
        <w:rPr>
          <w:rFonts w:hint="eastAsia" w:ascii="宋体" w:hAnsi="宋体" w:cs="宋体"/>
          <w:sz w:val="24"/>
          <w:highlight w:val="none"/>
        </w:rPr>
      </w:pPr>
      <w:r>
        <w:rPr>
          <w:rFonts w:hint="eastAsia" w:ascii="宋体" w:hAnsi="宋体" w:cs="宋体"/>
          <w:sz w:val="24"/>
          <w:highlight w:val="none"/>
        </w:rPr>
        <w:t>投标人所投云平台应具备完备的安全防护体系和安全防护设备，应保证各业务应用系统的支撑环境，包括但不限于服务器、网络、存储以及相关物理环境，应能满足不低于网络安全等级保护（GB/T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积极配合采购人开展各项安全服务保障工作。投标人管辖范围内的硬件、软件及支撑环境资源，至少达到业务系统的最高安全等级要求。</w:t>
      </w:r>
    </w:p>
    <w:p w14:paraId="7841029C">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bookmarkStart w:id="27" w:name="_Toc176186881"/>
      <w:bookmarkStart w:id="28" w:name="_Toc28240"/>
      <w:r>
        <w:rPr>
          <w:rFonts w:hint="eastAsia" w:ascii="宋体" w:hAnsi="宋体" w:eastAsia="宋体" w:cs="宋体"/>
          <w:sz w:val="24"/>
          <w:szCs w:val="24"/>
          <w:highlight w:val="none"/>
          <w:lang w:val="en-US" w:eastAsia="zh-CN"/>
        </w:rPr>
        <w:t>业务系统部署要求</w:t>
      </w:r>
      <w:bookmarkEnd w:id="27"/>
      <w:bookmarkEnd w:id="28"/>
    </w:p>
    <w:p w14:paraId="4739BC90">
      <w:pPr>
        <w:spacing w:line="560" w:lineRule="exact"/>
        <w:ind w:firstLine="360" w:firstLineChars="150"/>
        <w:rPr>
          <w:rFonts w:hint="eastAsia" w:ascii="宋体" w:hAnsi="宋体" w:cs="宋体"/>
          <w:sz w:val="24"/>
          <w:highlight w:val="none"/>
        </w:rPr>
      </w:pPr>
      <w:r>
        <w:rPr>
          <w:rFonts w:hint="eastAsia" w:ascii="宋体" w:hAnsi="宋体" w:cs="宋体"/>
          <w:sz w:val="24"/>
          <w:highlight w:val="none"/>
        </w:rPr>
        <w:t>中标后需将应用系统迁移至中标服务商云平台中，为保障应用系统迁移过程中的可用性和完整性，对迁移服务的具体要求如下：</w:t>
      </w:r>
    </w:p>
    <w:p w14:paraId="1FD47A1B">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（1）迁移经验要求</w:t>
      </w:r>
    </w:p>
    <w:p w14:paraId="096DECE9">
      <w:pPr>
        <w:spacing w:line="560" w:lineRule="exact"/>
        <w:ind w:firstLine="360" w:firstLineChars="150"/>
        <w:rPr>
          <w:rFonts w:hint="eastAsia" w:ascii="宋体" w:hAnsi="宋体" w:cs="宋体"/>
          <w:sz w:val="24"/>
          <w:highlight w:val="none"/>
        </w:rPr>
      </w:pPr>
      <w:r>
        <w:rPr>
          <w:rFonts w:hint="eastAsia" w:ascii="宋体" w:hAnsi="宋体" w:cs="宋体"/>
          <w:sz w:val="24"/>
          <w:highlight w:val="none"/>
        </w:rPr>
        <w:t>供应商需具备政府系统政务云迁移经验，可根据业务特点制定应用系统迁移部署方案，明确迁移部署流程、迁移部署保障、迁移部署工具，配合用户完成系统迁移部署、运行和安全保障，迁移过程中保证应用系统不中断。</w:t>
      </w:r>
      <w:r>
        <w:rPr>
          <w:rFonts w:hint="eastAsia" w:ascii="宋体" w:hAnsi="宋体" w:cs="宋体"/>
          <w:b/>
          <w:sz w:val="24"/>
          <w:highlight w:val="none"/>
        </w:rPr>
        <w:t>供应商提供迁移承诺函并加盖供应商公章。</w:t>
      </w:r>
    </w:p>
    <w:p w14:paraId="1B9B5FB3">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（2）迁移进度要求</w:t>
      </w:r>
    </w:p>
    <w:p w14:paraId="28FDE31E">
      <w:pPr>
        <w:spacing w:line="560" w:lineRule="exact"/>
        <w:ind w:firstLine="360" w:firstLineChars="150"/>
        <w:rPr>
          <w:rFonts w:hint="eastAsia" w:ascii="宋体" w:hAnsi="宋体" w:cs="宋体"/>
          <w:sz w:val="24"/>
          <w:highlight w:val="none"/>
        </w:rPr>
      </w:pPr>
      <w:r>
        <w:rPr>
          <w:rFonts w:hint="eastAsia" w:ascii="宋体" w:hAnsi="宋体" w:cs="宋体"/>
          <w:sz w:val="24"/>
          <w:highlight w:val="none"/>
        </w:rPr>
        <w:t>在合同签订后1日内，根据采购人需求完成政务云测试、试运行、系统迁移上线工作，并且不能改变和影响采购人原有系统的功能、技术状态、数据完整性。</w:t>
      </w:r>
      <w:r>
        <w:rPr>
          <w:rFonts w:hint="eastAsia" w:ascii="宋体" w:hAnsi="宋体" w:cs="宋体"/>
          <w:b/>
          <w:sz w:val="24"/>
          <w:highlight w:val="none"/>
        </w:rPr>
        <w:t>供应商提供承诺函并加盖供应商公章。</w:t>
      </w:r>
    </w:p>
    <w:p w14:paraId="00BEBD24">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（3）迁移费用要求</w:t>
      </w:r>
    </w:p>
    <w:p w14:paraId="33A0C477">
      <w:pPr>
        <w:spacing w:line="560" w:lineRule="exact"/>
        <w:ind w:firstLine="360" w:firstLineChars="150"/>
        <w:rPr>
          <w:rFonts w:hint="eastAsia" w:ascii="宋体" w:hAnsi="宋体" w:cs="宋体"/>
          <w:sz w:val="24"/>
          <w:highlight w:val="none"/>
        </w:rPr>
      </w:pPr>
      <w:r>
        <w:rPr>
          <w:rFonts w:hint="eastAsia" w:ascii="宋体" w:hAnsi="宋体" w:cs="宋体"/>
          <w:sz w:val="24"/>
          <w:highlight w:val="none"/>
        </w:rPr>
        <w:t>为确保迁移过程中数据不丢失、系统业务不中断，本次中标人应负责与原政务云平台的服务商进行主动对接，系统迁移所需各项费用（包括但不限于中标人迁移测试阶段的云资源费用及调试费用等），由本次中标人负责解决并包含在本次投标报价中。</w:t>
      </w:r>
      <w:r>
        <w:rPr>
          <w:rFonts w:hint="eastAsia" w:ascii="宋体" w:hAnsi="宋体" w:cs="宋体"/>
          <w:b/>
          <w:sz w:val="24"/>
          <w:highlight w:val="none"/>
        </w:rPr>
        <w:t>供应商提供承诺函并加盖供应商公章。</w:t>
      </w:r>
    </w:p>
    <w:p w14:paraId="4F15E257">
      <w:pPr>
        <w:pStyle w:val="6"/>
        <w:numPr>
          <w:ilvl w:val="3"/>
          <w:numId w:val="3"/>
        </w:numPr>
        <w:spacing w:before="240" w:after="120"/>
        <w:ind w:left="720" w:hanging="720"/>
        <w:outlineLvl w:val="3"/>
        <w:rPr>
          <w:rFonts w:hint="eastAsia" w:ascii="宋体" w:hAnsi="宋体" w:eastAsia="宋体" w:cs="宋体"/>
          <w:sz w:val="24"/>
          <w:szCs w:val="24"/>
          <w:highlight w:val="none"/>
          <w:lang w:val="en-US" w:eastAsia="zh-CN"/>
        </w:rPr>
      </w:pPr>
      <w:bookmarkStart w:id="29" w:name="_Toc2243"/>
      <w:bookmarkStart w:id="30" w:name="_Toc176186882"/>
      <w:r>
        <w:rPr>
          <w:rFonts w:hint="eastAsia" w:ascii="宋体" w:hAnsi="宋体" w:eastAsia="宋体" w:cs="宋体"/>
          <w:sz w:val="24"/>
          <w:szCs w:val="24"/>
          <w:highlight w:val="none"/>
          <w:lang w:val="en-US" w:eastAsia="zh-CN"/>
        </w:rPr>
        <w:t>运维保障服务要求</w:t>
      </w:r>
      <w:bookmarkEnd w:id="29"/>
      <w:bookmarkEnd w:id="30"/>
      <w:r>
        <w:rPr>
          <w:rFonts w:hint="eastAsia" w:ascii="宋体" w:hAnsi="宋体" w:eastAsia="宋体" w:cs="宋体"/>
          <w:sz w:val="24"/>
          <w:szCs w:val="24"/>
          <w:highlight w:val="none"/>
          <w:lang w:val="en-US" w:eastAsia="zh-CN"/>
        </w:rPr>
        <w:t xml:space="preserve"> </w:t>
      </w:r>
    </w:p>
    <w:p w14:paraId="453C408E">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运维管理能力要求</w:t>
      </w:r>
    </w:p>
    <w:p w14:paraId="1F490F82">
      <w:pPr>
        <w:pStyle w:val="10"/>
        <w:spacing w:line="560" w:lineRule="exact"/>
        <w:ind w:firstLine="480"/>
        <w:rPr>
          <w:rFonts w:hint="eastAsia" w:eastAsia="宋体"/>
          <w:sz w:val="24"/>
          <w:highlight w:val="none"/>
        </w:rPr>
      </w:pPr>
      <w:r>
        <w:rPr>
          <w:rFonts w:hint="eastAsia" w:eastAsia="宋体"/>
          <w:sz w:val="24"/>
          <w:highlight w:val="none"/>
        </w:rPr>
        <w:t>投标人应采用运维监控软件，提升运维管理能力，须具有的运维管理能力要求如下：</w:t>
      </w:r>
    </w:p>
    <w:p w14:paraId="6E5FF3D7">
      <w:pPr>
        <w:spacing w:line="560" w:lineRule="exact"/>
        <w:ind w:firstLine="48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可视化监控管理能力，须以业务系统为维度提供云主机的可视化监控展示，包括云主机的CPU、内存、云盘使用率、总资源占领量、云效率、拨测信息等在门户首页进行展示和查看；提供可视化监控能力截图。</w:t>
      </w:r>
    </w:p>
    <w:p w14:paraId="68ACCA68">
      <w:pPr>
        <w:spacing w:line="560" w:lineRule="exact"/>
        <w:ind w:firstLine="480"/>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后台任务性能分析能力：能够对后台任务慢追踪，包括时间、后台任务名称、平均响应时间；提供后台任务性能分析能力截图；</w:t>
      </w:r>
    </w:p>
    <w:p w14:paraId="67D33677">
      <w:pPr>
        <w:spacing w:line="560" w:lineRule="exact"/>
        <w:ind w:firstLine="48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）同时间轴数据分析能力；</w:t>
      </w:r>
      <w:r>
        <w:rPr>
          <w:rFonts w:hint="eastAsia" w:ascii="宋体" w:hAnsi="宋体" w:cs="宋体"/>
          <w:sz w:val="24"/>
          <w:highlight w:val="none"/>
        </w:rPr>
        <w:t>能够对用户体验层、应用程序层、</w:t>
      </w:r>
      <w:r>
        <w:rPr>
          <w:rFonts w:ascii="宋体" w:hAnsi="宋体" w:cs="宋体"/>
          <w:sz w:val="24"/>
          <w:highlight w:val="none"/>
        </w:rPr>
        <w:t>IT架构层进行同时间轴分析，找到引起业务总分降低的关键指标；提供同时间轴数据分析能力截图；</w:t>
      </w:r>
    </w:p>
    <w:p w14:paraId="3C6C56C1">
      <w:pPr>
        <w:spacing w:line="560" w:lineRule="exact"/>
        <w:ind w:firstLine="480"/>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）具有数据库运维知识库，实现智能诊断分析功能</w:t>
      </w:r>
      <w:r>
        <w:rPr>
          <w:rFonts w:hint="eastAsia" w:ascii="宋体" w:hAnsi="宋体" w:cs="宋体"/>
          <w:sz w:val="24"/>
          <w:highlight w:val="none"/>
        </w:rPr>
        <w:t>：</w:t>
      </w:r>
      <w:r>
        <w:rPr>
          <w:rFonts w:ascii="宋体" w:hAnsi="宋体" w:cs="宋体"/>
          <w:sz w:val="24"/>
          <w:highlight w:val="none"/>
        </w:rPr>
        <w:t>当某个运维场景告警时，可以通过知识图谱推荐的诊断路径进行自动化分析，并输出诊断报告；</w:t>
      </w:r>
      <w:r>
        <w:rPr>
          <w:rFonts w:hint="eastAsia" w:ascii="宋体" w:hAnsi="宋体" w:cs="宋体"/>
          <w:sz w:val="24"/>
          <w:highlight w:val="none"/>
        </w:rPr>
        <w:t>提供智能诊断分析功能和诊断分析报告能力截图。</w:t>
      </w:r>
    </w:p>
    <w:p w14:paraId="536C128F">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运维要求</w:t>
      </w:r>
    </w:p>
    <w:p w14:paraId="405270EB">
      <w:pPr>
        <w:spacing w:line="560" w:lineRule="exact"/>
        <w:ind w:firstLine="480"/>
        <w:rPr>
          <w:rFonts w:hint="eastAsia" w:ascii="宋体" w:hAnsi="宋体" w:cs="宋体"/>
          <w:sz w:val="24"/>
          <w:highlight w:val="none"/>
        </w:rPr>
      </w:pPr>
      <w:r>
        <w:rPr>
          <w:rFonts w:hint="eastAsia" w:ascii="宋体" w:hAnsi="宋体" w:cs="宋体"/>
          <w:sz w:val="24"/>
          <w:highlight w:val="none"/>
        </w:rPr>
        <w:t>投标人需编制运维服务制度、规范、流程，需利用监控系统或人工对机房环境、硬件设备及应用系统的运行情况进行7*24小时的监控，及时发现安全隐患，通知相关人员及时处理，并形成监控报告。</w:t>
      </w:r>
    </w:p>
    <w:p w14:paraId="1AA0C8EA">
      <w:pPr>
        <w:spacing w:line="560" w:lineRule="exact"/>
        <w:ind w:firstLine="480"/>
        <w:rPr>
          <w:rFonts w:hint="eastAsia" w:ascii="宋体" w:hAnsi="宋体" w:cs="宋体"/>
          <w:sz w:val="24"/>
          <w:highlight w:val="none"/>
        </w:rPr>
      </w:pPr>
      <w:r>
        <w:rPr>
          <w:rFonts w:hint="eastAsia" w:ascii="宋体" w:hAnsi="宋体" w:cs="宋体"/>
          <w:sz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2E326C36">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安全及保密要求</w:t>
      </w:r>
    </w:p>
    <w:p w14:paraId="4FA29A6E">
      <w:pPr>
        <w:spacing w:line="560" w:lineRule="exact"/>
        <w:ind w:firstLine="480"/>
        <w:rPr>
          <w:rFonts w:hint="eastAsia" w:ascii="宋体" w:hAnsi="宋体" w:cs="宋体"/>
          <w:sz w:val="24"/>
          <w:highlight w:val="none"/>
        </w:rPr>
      </w:pPr>
      <w:r>
        <w:rPr>
          <w:rFonts w:hint="eastAsia" w:ascii="宋体" w:hAnsi="宋体" w:cs="宋体"/>
          <w:sz w:val="24"/>
          <w:highlight w:val="none"/>
        </w:rPr>
        <w:t>投标人须严格遵守采购人的相关信息安全规定，不得利用系统维护服务时的便利对采购人数据及其他信息擅自修改或透漏给第三方。</w:t>
      </w:r>
    </w:p>
    <w:p w14:paraId="5A3FA0E9">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响应的及时性要求</w:t>
      </w:r>
    </w:p>
    <w:p w14:paraId="16872BCF">
      <w:pPr>
        <w:spacing w:line="560" w:lineRule="exact"/>
        <w:ind w:firstLine="480"/>
        <w:rPr>
          <w:rFonts w:hint="eastAsia" w:ascii="宋体" w:hAnsi="宋体" w:cs="宋体"/>
          <w:sz w:val="24"/>
          <w:highlight w:val="none"/>
        </w:rPr>
      </w:pPr>
      <w:r>
        <w:rPr>
          <w:rFonts w:hint="eastAsia" w:ascii="宋体" w:hAnsi="宋体" w:cs="宋体"/>
          <w:sz w:val="24"/>
          <w:highlight w:val="none"/>
        </w:rPr>
        <w:t>投标人应当提供高效的系统维护服务，有效防范系统风险，系统对应负责人7*24小时电话畅通，能够在系统发生除宕机外的其他故障问题时，投标人应在5分钟内响应，在30分钟之内开始处理故障，能够协调人力资源在1小时内到达运维现场提供服务。系统发生宕机问题时，投标人应在30分钟内响应，在4个小时之内使系统恢复正常，故障处理完毕后提供相关系统宕机报告。</w:t>
      </w:r>
    </w:p>
    <w:p w14:paraId="0FF4BC89">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重点保障要求</w:t>
      </w:r>
    </w:p>
    <w:p w14:paraId="7D5723C6">
      <w:pPr>
        <w:spacing w:line="560" w:lineRule="exact"/>
        <w:ind w:firstLine="480"/>
        <w:rPr>
          <w:rFonts w:hint="eastAsia" w:ascii="宋体" w:hAnsi="宋体" w:cs="宋体"/>
          <w:sz w:val="24"/>
          <w:highlight w:val="none"/>
        </w:rPr>
      </w:pPr>
      <w:r>
        <w:rPr>
          <w:rFonts w:hint="eastAsia" w:ascii="宋体" w:hAnsi="宋体" w:cs="宋体"/>
          <w:sz w:val="24"/>
          <w:highlight w:val="none"/>
        </w:rPr>
        <w:t>为保障春节、五一、十一、两会等重要时期以及业务高峰期内系统平稳运行，缓解系统高峰期内因业务发生量增大而带来系统压力风险，要求投标人根据业务周期性特点，加大运维保障力度，保证在业务高峰期内系统平稳运行。</w:t>
      </w:r>
    </w:p>
    <w:p w14:paraId="04272289">
      <w:pPr>
        <w:pStyle w:val="6"/>
        <w:numPr>
          <w:ilvl w:val="4"/>
          <w:numId w:val="3"/>
        </w:numPr>
        <w:spacing w:before="240" w:after="120"/>
        <w:ind w:left="840" w:leftChars="0" w:hanging="720" w:firstLineChars="0"/>
        <w:outlineLvl w:val="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应急保障和风险防控措施</w:t>
      </w:r>
    </w:p>
    <w:p w14:paraId="4E620ECE">
      <w:pPr>
        <w:spacing w:line="560" w:lineRule="exact"/>
        <w:ind w:firstLine="480"/>
        <w:rPr>
          <w:rFonts w:hint="eastAsia" w:ascii="宋体" w:hAnsi="宋体" w:cs="宋体"/>
          <w:sz w:val="24"/>
          <w:highlight w:val="none"/>
        </w:rPr>
      </w:pPr>
      <w:r>
        <w:rPr>
          <w:rFonts w:hint="eastAsia" w:ascii="宋体" w:hAnsi="宋体" w:cs="宋体"/>
          <w:sz w:val="24"/>
          <w:highlight w:val="none"/>
        </w:rPr>
        <w:t>云平台应具备相应的应急预案与风险防控措施,在云平台运行维护期间，出现应急情况和风险状况时，按照预案处置,快速解决问题。</w:t>
      </w:r>
    </w:p>
    <w:p w14:paraId="7D030DF4">
      <w:pPr>
        <w:pStyle w:val="6"/>
        <w:numPr>
          <w:ilvl w:val="3"/>
          <w:numId w:val="3"/>
        </w:numPr>
        <w:spacing w:before="240" w:after="120"/>
        <w:ind w:left="720" w:hanging="720"/>
        <w:outlineLvl w:val="3"/>
        <w:rPr>
          <w:rFonts w:hint="eastAsia" w:ascii="宋体" w:hAnsi="宋体" w:eastAsia="宋体" w:cs="宋体"/>
          <w:sz w:val="24"/>
          <w:szCs w:val="24"/>
          <w:highlight w:val="none"/>
          <w:lang w:val="en-US" w:eastAsia="zh-CN"/>
        </w:rPr>
      </w:pPr>
      <w:bookmarkStart w:id="31" w:name="_Toc176186883"/>
      <w:bookmarkStart w:id="32" w:name="_Toc4760"/>
      <w:r>
        <w:rPr>
          <w:rFonts w:hint="eastAsia" w:ascii="宋体" w:hAnsi="宋体" w:eastAsia="宋体" w:cs="宋体"/>
          <w:sz w:val="24"/>
          <w:szCs w:val="24"/>
          <w:highlight w:val="none"/>
          <w:lang w:val="en-US" w:eastAsia="zh-CN"/>
        </w:rPr>
        <w:t>服务团队要求</w:t>
      </w:r>
      <w:bookmarkEnd w:id="31"/>
      <w:bookmarkEnd w:id="32"/>
    </w:p>
    <w:p w14:paraId="7A787FB1">
      <w:pPr>
        <w:spacing w:line="560" w:lineRule="exact"/>
        <w:ind w:firstLine="480"/>
        <w:rPr>
          <w:rFonts w:hint="eastAsia" w:ascii="宋体" w:hAnsi="宋体" w:cs="宋体"/>
          <w:sz w:val="24"/>
          <w:highlight w:val="none"/>
        </w:rPr>
      </w:pPr>
      <w:r>
        <w:rPr>
          <w:rFonts w:hint="eastAsia" w:ascii="宋体" w:hAnsi="宋体" w:cs="宋体"/>
          <w:sz w:val="24"/>
          <w:highlight w:val="none"/>
        </w:rPr>
        <w:t>投标人须根据项目要求安排具备相应资质和经验的专业人员从事本项目工作，提供不少于1</w:t>
      </w:r>
      <w:r>
        <w:rPr>
          <w:rFonts w:hint="eastAsia" w:ascii="宋体" w:hAnsi="宋体" w:cs="宋体"/>
          <w:sz w:val="24"/>
          <w:highlight w:val="none"/>
          <w:lang w:val="en-US" w:eastAsia="zh-CN"/>
        </w:rPr>
        <w:t>0</w:t>
      </w:r>
      <w:r>
        <w:rPr>
          <w:rFonts w:hint="eastAsia" w:ascii="宋体" w:hAnsi="宋体" w:cs="宋体"/>
          <w:sz w:val="24"/>
          <w:highlight w:val="none"/>
        </w:rPr>
        <w:t>人的服务团队，须确保项目实施队伍的稳定。投标人需提供项目团队组织架构、成员名单、成员职责，保证担任重要岗位的人员具备相应专业资质。</w:t>
      </w:r>
    </w:p>
    <w:p w14:paraId="6A80EB16">
      <w:pPr>
        <w:spacing w:line="560" w:lineRule="exact"/>
        <w:ind w:firstLine="480"/>
        <w:rPr>
          <w:rFonts w:hint="eastAsia" w:ascii="宋体" w:hAnsi="宋体" w:eastAsia="宋体" w:cs="宋体"/>
          <w:sz w:val="24"/>
          <w:highlight w:val="none"/>
        </w:rPr>
      </w:pPr>
      <w:r>
        <w:rPr>
          <w:rFonts w:hint="eastAsia" w:ascii="宋体" w:hAnsi="宋体" w:eastAsia="宋体" w:cs="宋体"/>
          <w:sz w:val="24"/>
          <w:highlight w:val="none"/>
        </w:rPr>
        <w:t>项目经理1名，需具有5年及以上项目管理工作经验（提供个人简历、项目经历），需具备有效期内的高级信息系统项目管理师证书（计算机技术与软件专业技术资格）、信息安全保障人员认证证书（应急服务专业级或以上）、信息安全保障人员认证证书（安全运维专业级或以上）、</w:t>
      </w:r>
      <w:r>
        <w:rPr>
          <w:rFonts w:hint="eastAsia" w:ascii="宋体" w:hAnsi="宋体" w:eastAsia="宋体" w:cs="宋体"/>
          <w:sz w:val="24"/>
          <w:highlight w:val="none"/>
          <w:lang w:val="en-US" w:eastAsia="zh-CN"/>
        </w:rPr>
        <w:t>国家重要信息系统保护人员证书（CIIPT-A或CIIPT-D）</w:t>
      </w:r>
      <w:r>
        <w:rPr>
          <w:rFonts w:hint="eastAsia" w:ascii="宋体" w:hAnsi="宋体" w:eastAsia="宋体" w:cs="宋体"/>
          <w:sz w:val="24"/>
          <w:highlight w:val="none"/>
        </w:rPr>
        <w:t xml:space="preserve">等。 </w:t>
      </w:r>
    </w:p>
    <w:p w14:paraId="1CE51CAC">
      <w:pPr>
        <w:spacing w:line="560" w:lineRule="exact"/>
        <w:ind w:firstLine="480"/>
        <w:rPr>
          <w:rFonts w:hint="eastAsia" w:ascii="宋体" w:hAnsi="宋体" w:eastAsia="宋体" w:cs="宋体"/>
          <w:sz w:val="24"/>
          <w:highlight w:val="none"/>
        </w:rPr>
      </w:pPr>
      <w:r>
        <w:rPr>
          <w:rFonts w:hint="eastAsia" w:ascii="宋体" w:hAnsi="宋体" w:eastAsia="宋体" w:cs="宋体"/>
          <w:sz w:val="24"/>
          <w:highlight w:val="none"/>
        </w:rPr>
        <w:t>安全（技术）负责人员1名（不能与项目经理为同一人），需具有五年以上工作经验，需具有在有效期内的信息安全保障人员认证证书（安全集成专业级或以上）、信息安全保障人员认证证书（应急服务专业级或以上）、注册信息安全工程师（CISE）认证证书等。</w:t>
      </w:r>
    </w:p>
    <w:p w14:paraId="5C25CBF0">
      <w:pPr>
        <w:spacing w:line="560" w:lineRule="exact"/>
        <w:ind w:firstLine="480"/>
        <w:rPr>
          <w:rFonts w:hint="eastAsia" w:ascii="宋体" w:hAnsi="宋体" w:eastAsia="宋体" w:cs="宋体"/>
          <w:sz w:val="24"/>
          <w:highlight w:val="none"/>
        </w:rPr>
      </w:pPr>
      <w:r>
        <w:rPr>
          <w:rFonts w:hint="eastAsia" w:ascii="宋体" w:hAnsi="宋体" w:eastAsia="宋体" w:cs="宋体"/>
          <w:sz w:val="24"/>
          <w:highlight w:val="none"/>
        </w:rPr>
        <w:t>其他技术服务人员不少于8名（不包含项目经理</w:t>
      </w:r>
      <w:r>
        <w:rPr>
          <w:rFonts w:hint="eastAsia" w:ascii="宋体" w:hAnsi="宋体" w:cs="宋体"/>
          <w:sz w:val="24"/>
          <w:highlight w:val="none"/>
          <w:lang w:eastAsia="zh-CN"/>
        </w:rPr>
        <w:t>、</w:t>
      </w:r>
      <w:r>
        <w:rPr>
          <w:rFonts w:hint="eastAsia" w:ascii="宋体" w:hAnsi="宋体" w:eastAsia="宋体" w:cs="宋体"/>
          <w:sz w:val="24"/>
          <w:highlight w:val="none"/>
        </w:rPr>
        <w:t>安全（技术）负责人</w:t>
      </w:r>
      <w:r>
        <w:rPr>
          <w:rFonts w:hint="eastAsia" w:ascii="宋体" w:hAnsi="宋体" w:cs="宋体"/>
          <w:sz w:val="24"/>
          <w:highlight w:val="none"/>
          <w:lang w:eastAsia="zh-CN"/>
        </w:rPr>
        <w:t>、</w:t>
      </w:r>
      <w:r>
        <w:rPr>
          <w:rFonts w:hint="eastAsia" w:ascii="宋体" w:hAnsi="宋体" w:cs="宋体"/>
          <w:sz w:val="24"/>
          <w:highlight w:val="none"/>
          <w:lang w:val="en-US" w:eastAsia="zh-CN"/>
        </w:rPr>
        <w:t>驻场运维工程师</w:t>
      </w:r>
      <w:r>
        <w:rPr>
          <w:rFonts w:hint="eastAsia" w:ascii="宋体" w:hAnsi="宋体" w:eastAsia="宋体" w:cs="宋体"/>
          <w:sz w:val="24"/>
          <w:highlight w:val="none"/>
        </w:rPr>
        <w:t>），人员至少包括以下不同的技术人员：系统架构设计师1名、系统规划与管理师1名、系统分析师1名、网络规划设计师1名，以上4名须通过计算机技术与软件专业技术资格（水平）考试，并取得相应高级证书；数据库系统工程师1名，需通过计算机技术与软件专业技术资格（水平）考试，并取得相应证书。</w:t>
      </w:r>
    </w:p>
    <w:p w14:paraId="436F258A">
      <w:pPr>
        <w:spacing w:line="560" w:lineRule="exact"/>
        <w:ind w:firstLine="480"/>
        <w:rPr>
          <w:rFonts w:hint="eastAsia" w:ascii="宋体" w:hAnsi="宋体" w:eastAsia="宋体" w:cs="宋体"/>
          <w:sz w:val="24"/>
          <w:highlight w:val="none"/>
        </w:rPr>
      </w:pPr>
      <w:r>
        <w:rPr>
          <w:rFonts w:hint="eastAsia" w:ascii="宋体" w:hAnsi="宋体" w:cs="宋体"/>
          <w:sz w:val="24"/>
          <w:highlight w:val="none"/>
          <w:lang w:val="en-US" w:eastAsia="zh-CN"/>
        </w:rPr>
        <w:t>投标人需提供驻场运维工程师1人，</w:t>
      </w:r>
      <w:r>
        <w:rPr>
          <w:rFonts w:hint="eastAsia" w:ascii="宋体" w:hAnsi="宋体" w:eastAsia="宋体" w:cs="宋体"/>
          <w:sz w:val="24"/>
          <w:highlight w:val="none"/>
        </w:rPr>
        <w:t>协助采购人进行政务云服务的日常管理，包括云资源管理、云服务管理、日常工单管理等，同时须协助采购人完成云上业务系统的日常监控等工作。要求驻场运维工程师在采购人现场办公，实时响应工作时间内需求及故障处置，要求驻场人员不接受人员外包。驻场运维工程师需具有高级网络信息安全工程师认证、IT运维工程师（高级）、注册信息安全工程师（CISE）、信息安全保障人员认证证书（安全运维专业级或以上）。</w:t>
      </w:r>
    </w:p>
    <w:p w14:paraId="3359E1EA">
      <w:pPr>
        <w:pStyle w:val="6"/>
        <w:numPr>
          <w:ilvl w:val="2"/>
          <w:numId w:val="3"/>
        </w:numPr>
        <w:spacing w:before="240" w:after="120"/>
        <w:ind w:left="720"/>
        <w:outlineLvl w:val="2"/>
        <w:rPr>
          <w:rFonts w:hint="eastAsia" w:ascii="宋体" w:hAnsi="宋体" w:eastAsia="宋体" w:cs="宋体"/>
          <w:sz w:val="24"/>
          <w:szCs w:val="24"/>
          <w:highlight w:val="none"/>
        </w:rPr>
      </w:pPr>
      <w:bookmarkStart w:id="33" w:name="_Toc176186884"/>
      <w:bookmarkStart w:id="34" w:name="_Toc28669"/>
      <w:r>
        <w:rPr>
          <w:rFonts w:hint="eastAsia" w:ascii="宋体" w:hAnsi="宋体" w:eastAsia="宋体" w:cs="宋体"/>
          <w:sz w:val="24"/>
          <w:szCs w:val="24"/>
          <w:highlight w:val="none"/>
        </w:rPr>
        <w:t>验收标准</w:t>
      </w:r>
      <w:bookmarkEnd w:id="33"/>
      <w:bookmarkEnd w:id="34"/>
    </w:p>
    <w:p w14:paraId="51EA4ED3">
      <w:pPr>
        <w:spacing w:line="560" w:lineRule="exact"/>
        <w:ind w:firstLine="480"/>
        <w:rPr>
          <w:rFonts w:hint="eastAsia" w:ascii="宋体" w:hAnsi="宋体" w:cs="宋体"/>
          <w:sz w:val="24"/>
          <w:highlight w:val="none"/>
        </w:rPr>
      </w:pPr>
      <w:r>
        <w:rPr>
          <w:rFonts w:hint="eastAsia" w:ascii="宋体" w:hAnsi="宋体" w:cs="宋体"/>
          <w:sz w:val="24"/>
          <w:highlight w:val="none"/>
        </w:rPr>
        <w:t>中标人为采购人提供的服务质量应符合国家或相关行业，以及《北京市市级政务云管理办法》及北京市财政局运维管理相关要求。</w:t>
      </w:r>
    </w:p>
    <w:p w14:paraId="4A5ECD67">
      <w:pPr>
        <w:spacing w:line="560" w:lineRule="exact"/>
        <w:ind w:firstLine="480"/>
        <w:rPr>
          <w:rFonts w:hint="eastAsia" w:ascii="宋体" w:hAnsi="宋体" w:cs="宋体"/>
          <w:b/>
          <w:sz w:val="24"/>
          <w:highlight w:val="none"/>
        </w:rPr>
      </w:pPr>
      <w:r>
        <w:rPr>
          <w:rFonts w:hint="eastAsia" w:ascii="宋体" w:hAnsi="宋体" w:cs="宋体"/>
          <w:sz w:val="24"/>
          <w:highlight w:val="none"/>
        </w:rPr>
        <w:t>中标人在按合同要求提供各项服务并形成服务报告文档后，在系统运行正常的前提下，由采购人进行验收。中标人需提供最终签署的合同中约定的相关文档并配合采购人验收工作。</w:t>
      </w:r>
    </w:p>
    <w:p w14:paraId="455952D5">
      <w:pPr>
        <w:rPr>
          <w:highlight w:val="none"/>
        </w:rPr>
      </w:pPr>
    </w:p>
    <w:p w14:paraId="6A5D9D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E0AB"/>
    <w:multiLevelType w:val="multilevel"/>
    <w:tmpl w:val="927CE0A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FE9AC4CB"/>
    <w:multiLevelType w:val="multilevel"/>
    <w:tmpl w:val="FE9AC4C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pStyle w:val="7"/>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5D7C27DF"/>
    <w:multiLevelType w:val="multilevel"/>
    <w:tmpl w:val="5D7C27DF"/>
    <w:lvl w:ilvl="0" w:tentative="0">
      <w:start w:val="1"/>
      <w:numFmt w:val="decimal"/>
      <w:lvlText w:val="%1"/>
      <w:lvlJc w:val="left"/>
      <w:pPr>
        <w:ind w:left="432" w:hanging="432"/>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6"/>
      <w:lvlText w:val="%1.%2"/>
      <w:lvlJc w:val="left"/>
      <w:pPr>
        <w:ind w:left="576" w:hanging="576"/>
      </w:pPr>
      <w:rPr>
        <w:rFonts w:hint="eastAsia"/>
        <w:lang w:eastAsia="zh-CN"/>
      </w:rPr>
    </w:lvl>
    <w:lvl w:ilvl="2" w:tentative="0">
      <w:start w:val="1"/>
      <w:numFmt w:val="decimal"/>
      <w:lvlText w:val="%1.%2.%3"/>
      <w:lvlJc w:val="left"/>
      <w:pPr>
        <w:ind w:left="720" w:hanging="720"/>
      </w:pPr>
      <w:rPr>
        <w:rFonts w:hint="eastAsia"/>
        <w:lang w:eastAsia="zh-CN"/>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7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3">
    <w:name w:val="Body Text Indent"/>
    <w:basedOn w:val="1"/>
    <w:qFormat/>
    <w:uiPriority w:val="0"/>
    <w:pPr>
      <w:spacing w:line="360" w:lineRule="auto"/>
      <w:ind w:firstLine="570"/>
    </w:pPr>
    <w:rPr>
      <w:sz w:val="24"/>
    </w:rPr>
  </w:style>
  <w:style w:type="paragraph" w:customStyle="1" w:styleId="6">
    <w:name w:val="FUNO标题2"/>
    <w:next w:val="1"/>
    <w:qFormat/>
    <w:uiPriority w:val="0"/>
    <w:pPr>
      <w:keepNext/>
      <w:numPr>
        <w:ilvl w:val="1"/>
        <w:numId w:val="1"/>
      </w:numPr>
      <w:spacing w:beforeLines="100" w:afterLines="50" w:line="360" w:lineRule="auto"/>
      <w:outlineLvl w:val="1"/>
    </w:pPr>
    <w:rPr>
      <w:rFonts w:ascii="黑体" w:hAnsi="黑体" w:eastAsia="黑体" w:cs="Times New Roman"/>
      <w:b/>
      <w:kern w:val="2"/>
      <w:sz w:val="32"/>
      <w:szCs w:val="22"/>
      <w:lang w:val="en-US" w:eastAsia="zh-CN" w:bidi="ar-SA"/>
    </w:rPr>
  </w:style>
  <w:style w:type="paragraph" w:customStyle="1" w:styleId="7">
    <w:name w:val="FUNO标题3"/>
    <w:next w:val="1"/>
    <w:qFormat/>
    <w:uiPriority w:val="0"/>
    <w:pPr>
      <w:keepNext/>
      <w:numPr>
        <w:ilvl w:val="2"/>
        <w:numId w:val="2"/>
      </w:numPr>
      <w:spacing w:beforeLines="100" w:afterLines="50"/>
      <w:outlineLvl w:val="2"/>
    </w:pPr>
    <w:rPr>
      <w:rFonts w:ascii="黑体" w:hAnsi="黑体" w:eastAsia="黑体" w:cs="Times New Roman"/>
      <w:b/>
      <w:kern w:val="2"/>
      <w:sz w:val="32"/>
      <w:szCs w:val="22"/>
      <w:lang w:val="en-US" w:eastAsia="zh-CN" w:bidi="ar-SA"/>
    </w:rPr>
  </w:style>
  <w:style w:type="paragraph" w:customStyle="1" w:styleId="8">
    <w:name w:val="样式 (西文) 宋体 (复杂文种) 宋体 首行缩进:  2 字符"/>
    <w:basedOn w:val="1"/>
    <w:qFormat/>
    <w:uiPriority w:val="0"/>
    <w:pPr>
      <w:ind w:firstLine="480"/>
    </w:pPr>
    <w:rPr>
      <w:rFonts w:ascii="宋体" w:hAnsi="宋体" w:cs="宋体"/>
    </w:rPr>
  </w:style>
  <w:style w:type="paragraph" w:customStyle="1" w:styleId="9">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0">
    <w:name w:val="文章正文"/>
    <w:basedOn w:val="1"/>
    <w:qFormat/>
    <w:uiPriority w:val="0"/>
    <w:pPr>
      <w:spacing w:line="360" w:lineRule="auto"/>
      <w:ind w:firstLine="200" w:firstLineChars="200"/>
    </w:pPr>
    <w:rPr>
      <w:rFonts w:ascii="宋体" w:hAnsi="宋体" w:eastAsia="仿宋"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2026-06-16T00:25:40Z</dcterms:created>
  <dc:creator>luozhao</dc:creator>
  <cp:lastModifiedBy>LZ</cp:lastModifiedBy>
  <dcterms:modified xsi:type="dcterms:W3CDTF">2026-06-16T00:26:19Z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C78D51CE9B9A401A9833CDC2EA1C04C9_12</vt:lpwstr>
  </property>
</Properties>
</file>